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3" w:rsidRPr="000359AF" w:rsidRDefault="00D20D03" w:rsidP="00D20D03">
      <w:pPr>
        <w:pStyle w:val="Bezmezer"/>
        <w:rPr>
          <w:b/>
          <w:sz w:val="24"/>
          <w:szCs w:val="24"/>
          <w:u w:val="single"/>
        </w:rPr>
      </w:pPr>
      <w:r w:rsidRPr="000359AF">
        <w:rPr>
          <w:b/>
          <w:sz w:val="24"/>
          <w:szCs w:val="24"/>
          <w:u w:val="single"/>
        </w:rPr>
        <w:t>ENGERIX™ - B 20 µg</w:t>
      </w:r>
    </w:p>
    <w:p w:rsidR="00D20D03" w:rsidRPr="000359AF" w:rsidRDefault="00D20D03" w:rsidP="00D20D03">
      <w:pPr>
        <w:pStyle w:val="Bezmezer"/>
        <w:rPr>
          <w:b/>
          <w:sz w:val="24"/>
          <w:szCs w:val="24"/>
          <w:u w:val="single"/>
        </w:rPr>
      </w:pPr>
      <w:r w:rsidRPr="000359AF">
        <w:rPr>
          <w:b/>
          <w:sz w:val="24"/>
          <w:szCs w:val="24"/>
          <w:u w:val="single"/>
        </w:rPr>
        <w:t>ENGERIX™ - B 10 µg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(</w:t>
      </w:r>
      <w:proofErr w:type="spellStart"/>
      <w:r w:rsidRPr="00D20D03">
        <w:rPr>
          <w:sz w:val="18"/>
        </w:rPr>
        <w:t>Antigenum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tegiminis</w:t>
      </w:r>
      <w:proofErr w:type="spellEnd"/>
      <w:r w:rsidRPr="00D20D03">
        <w:rPr>
          <w:sz w:val="18"/>
        </w:rPr>
        <w:t xml:space="preserve"> </w:t>
      </w:r>
      <w:proofErr w:type="spellStart"/>
      <w:proofErr w:type="gramStart"/>
      <w:r w:rsidRPr="00D20D03">
        <w:rPr>
          <w:sz w:val="18"/>
        </w:rPr>
        <w:t>hepatitidis</w:t>
      </w:r>
      <w:proofErr w:type="spellEnd"/>
      <w:r w:rsidRPr="00D20D03">
        <w:rPr>
          <w:sz w:val="18"/>
        </w:rPr>
        <w:t xml:space="preserve"> B )</w:t>
      </w:r>
      <w:proofErr w:type="gramEnd"/>
      <w:r w:rsidRPr="00D20D03">
        <w:rPr>
          <w:sz w:val="18"/>
        </w:rPr>
        <w:t xml:space="preserve">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injekční suspenze</w:t>
      </w:r>
    </w:p>
    <w:p w:rsidR="00D20D03" w:rsidRPr="00D20D03" w:rsidRDefault="00D20D03" w:rsidP="00D20D03">
      <w:pPr>
        <w:pStyle w:val="Bezmezer"/>
        <w:rPr>
          <w:sz w:val="18"/>
        </w:rPr>
      </w:pPr>
      <w:r w:rsidRPr="0065379E">
        <w:rPr>
          <w:b/>
          <w:sz w:val="18"/>
        </w:rPr>
        <w:t xml:space="preserve">Výrobce </w:t>
      </w:r>
      <w:r w:rsidRPr="00D20D03">
        <w:rPr>
          <w:sz w:val="18"/>
        </w:rPr>
        <w:t xml:space="preserve"> </w:t>
      </w:r>
      <w:r w:rsidR="000359AF">
        <w:rPr>
          <w:sz w:val="18"/>
        </w:rPr>
        <w:t xml:space="preserve">: </w:t>
      </w:r>
      <w:proofErr w:type="spellStart"/>
      <w:r w:rsidRPr="00D20D03">
        <w:rPr>
          <w:sz w:val="18"/>
        </w:rPr>
        <w:t>GlaxoSmithKline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Biologicals</w:t>
      </w:r>
      <w:proofErr w:type="spellEnd"/>
      <w:r w:rsidRPr="00D20D03">
        <w:rPr>
          <w:sz w:val="18"/>
        </w:rPr>
        <w:t xml:space="preserve"> </w:t>
      </w:r>
      <w:proofErr w:type="gramStart"/>
      <w:r w:rsidRPr="00D20D03">
        <w:rPr>
          <w:sz w:val="18"/>
        </w:rPr>
        <w:t>S.A.</w:t>
      </w:r>
      <w:proofErr w:type="gramEnd"/>
      <w:r w:rsidRPr="00D20D03">
        <w:rPr>
          <w:sz w:val="18"/>
        </w:rPr>
        <w:t xml:space="preserve">, </w:t>
      </w:r>
      <w:proofErr w:type="spellStart"/>
      <w:r w:rsidRPr="00D20D03">
        <w:rPr>
          <w:sz w:val="18"/>
        </w:rPr>
        <w:t>Rixensart</w:t>
      </w:r>
      <w:proofErr w:type="spellEnd"/>
      <w:r w:rsidRPr="00D20D03">
        <w:rPr>
          <w:sz w:val="18"/>
        </w:rPr>
        <w:t>, Belgie.</w:t>
      </w:r>
    </w:p>
    <w:p w:rsid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Držite</w:t>
      </w:r>
      <w:r w:rsidR="000359AF">
        <w:rPr>
          <w:sz w:val="18"/>
        </w:rPr>
        <w:t>l rozhodnutí o registraci :</w:t>
      </w:r>
      <w:proofErr w:type="spellStart"/>
      <w:r w:rsidRPr="00D20D03">
        <w:rPr>
          <w:sz w:val="18"/>
        </w:rPr>
        <w:t>GlaxoSmithKline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Biologicals</w:t>
      </w:r>
      <w:proofErr w:type="spellEnd"/>
      <w:r w:rsidRPr="00D20D03">
        <w:rPr>
          <w:sz w:val="18"/>
        </w:rPr>
        <w:t xml:space="preserve"> </w:t>
      </w:r>
      <w:proofErr w:type="gramStart"/>
      <w:r w:rsidRPr="00D20D03">
        <w:rPr>
          <w:sz w:val="18"/>
        </w:rPr>
        <w:t>S.A.</w:t>
      </w:r>
      <w:proofErr w:type="gramEnd"/>
      <w:r w:rsidRPr="00D20D03">
        <w:rPr>
          <w:sz w:val="18"/>
        </w:rPr>
        <w:t xml:space="preserve">, </w:t>
      </w:r>
      <w:proofErr w:type="spellStart"/>
      <w:r w:rsidRPr="00D20D03">
        <w:rPr>
          <w:sz w:val="18"/>
        </w:rPr>
        <w:t>Rixensart</w:t>
      </w:r>
      <w:proofErr w:type="spellEnd"/>
      <w:r w:rsidRPr="00D20D03">
        <w:rPr>
          <w:sz w:val="18"/>
        </w:rPr>
        <w:t>, Belgie.</w:t>
      </w:r>
    </w:p>
    <w:p w:rsidR="000359AF" w:rsidRPr="00D20D03" w:rsidRDefault="000359AF" w:rsidP="00D20D03">
      <w:pPr>
        <w:pStyle w:val="Bezmezer"/>
        <w:rPr>
          <w:sz w:val="18"/>
        </w:rPr>
      </w:pP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Složení      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Léčivá látka: </w:t>
      </w:r>
      <w:proofErr w:type="spellStart"/>
      <w:r w:rsidRPr="00D20D03">
        <w:rPr>
          <w:sz w:val="18"/>
        </w:rPr>
        <w:t>Antigenum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tegiminis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hepatitidis</w:t>
      </w:r>
      <w:proofErr w:type="spellEnd"/>
      <w:r w:rsidRPr="00D20D03">
        <w:rPr>
          <w:sz w:val="18"/>
        </w:rPr>
        <w:t xml:space="preserve"> B*.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20 µg: 1 dávka (1 ml) obsahuje: </w:t>
      </w:r>
      <w:proofErr w:type="spellStart"/>
      <w:r w:rsidRPr="00D20D03">
        <w:rPr>
          <w:sz w:val="18"/>
        </w:rPr>
        <w:t>Antigenum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tegiminis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hepatitidis</w:t>
      </w:r>
      <w:proofErr w:type="spellEnd"/>
      <w:r w:rsidRPr="00D20D03">
        <w:rPr>
          <w:sz w:val="18"/>
        </w:rPr>
        <w:t xml:space="preserve"> B* 20 µg.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10 µg: 1 dávka (0,5 ml) obsahuje: </w:t>
      </w:r>
      <w:proofErr w:type="spellStart"/>
      <w:r w:rsidRPr="00D20D03">
        <w:rPr>
          <w:sz w:val="18"/>
        </w:rPr>
        <w:t>Antigenum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tegiminis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hepatitidis</w:t>
      </w:r>
      <w:proofErr w:type="spellEnd"/>
      <w:r w:rsidRPr="00D20D03">
        <w:rPr>
          <w:sz w:val="18"/>
        </w:rPr>
        <w:t xml:space="preserve"> B* 10 µg.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* vyrobeno metodou genového inženýrství na kultuře kvasinkových </w:t>
      </w:r>
      <w:proofErr w:type="gramStart"/>
      <w:r w:rsidRPr="00D20D03">
        <w:rPr>
          <w:sz w:val="18"/>
        </w:rPr>
        <w:t>buněk  (</w:t>
      </w:r>
      <w:proofErr w:type="spellStart"/>
      <w:r w:rsidRPr="00D20D03">
        <w:rPr>
          <w:sz w:val="18"/>
        </w:rPr>
        <w:t>Saccharomyces</w:t>
      </w:r>
      <w:proofErr w:type="spellEnd"/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cerevisiae</w:t>
      </w:r>
      <w:proofErr w:type="spellEnd"/>
      <w:r w:rsidRPr="00D20D03">
        <w:rPr>
          <w:sz w:val="18"/>
        </w:rPr>
        <w:t>).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Pomocné látky: hydroxid hlinitý, </w:t>
      </w:r>
      <w:proofErr w:type="gramStart"/>
      <w:r w:rsidRPr="00D20D03">
        <w:rPr>
          <w:sz w:val="18"/>
        </w:rPr>
        <w:t>chlorid  sodný</w:t>
      </w:r>
      <w:proofErr w:type="gramEnd"/>
      <w:r w:rsidRPr="00D20D03">
        <w:rPr>
          <w:sz w:val="18"/>
        </w:rPr>
        <w:t xml:space="preserve">,  </w:t>
      </w:r>
      <w:proofErr w:type="spellStart"/>
      <w:r w:rsidRPr="00D20D03">
        <w:rPr>
          <w:sz w:val="18"/>
        </w:rPr>
        <w:t>dihydrát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dihydrogenfosforečnanu</w:t>
      </w:r>
      <w:proofErr w:type="spellEnd"/>
      <w:r w:rsidRPr="00D20D03">
        <w:rPr>
          <w:sz w:val="18"/>
        </w:rPr>
        <w:t xml:space="preserve"> sodného, </w:t>
      </w:r>
      <w:proofErr w:type="spellStart"/>
      <w:r w:rsidRPr="00D20D03">
        <w:rPr>
          <w:sz w:val="18"/>
        </w:rPr>
        <w:t>dihydrát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fosforečnanu sodného, voda na injekci.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Indikační skupina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Imunopreparát</w:t>
      </w:r>
      <w:proofErr w:type="spellEnd"/>
      <w:r w:rsidRPr="00D20D03">
        <w:rPr>
          <w:sz w:val="18"/>
        </w:rPr>
        <w:t xml:space="preserve">, </w:t>
      </w:r>
      <w:proofErr w:type="spellStart"/>
      <w:r w:rsidRPr="00D20D03">
        <w:rPr>
          <w:sz w:val="18"/>
        </w:rPr>
        <w:t>rekombinantní</w:t>
      </w:r>
      <w:proofErr w:type="spellEnd"/>
      <w:r w:rsidRPr="00D20D03">
        <w:rPr>
          <w:sz w:val="18"/>
        </w:rPr>
        <w:t xml:space="preserve"> vakcína proti hepatitidě B, adsorbovaná.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Charakteristika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je </w:t>
      </w:r>
      <w:proofErr w:type="spellStart"/>
      <w:r w:rsidRPr="00D20D03">
        <w:rPr>
          <w:sz w:val="18"/>
        </w:rPr>
        <w:t>rekombinantní</w:t>
      </w:r>
      <w:proofErr w:type="spellEnd"/>
      <w:r w:rsidRPr="00D20D03">
        <w:rPr>
          <w:sz w:val="18"/>
        </w:rPr>
        <w:t xml:space="preserve"> vakcína proti hepatitidě B, připravená metodou genového inženýrství </w:t>
      </w:r>
      <w:proofErr w:type="gramStart"/>
      <w:r w:rsidRPr="00D20D03">
        <w:rPr>
          <w:sz w:val="18"/>
        </w:rPr>
        <w:t>na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kulturách kvasinek (</w:t>
      </w:r>
      <w:proofErr w:type="spellStart"/>
      <w:proofErr w:type="gramStart"/>
      <w:r w:rsidRPr="00D20D03">
        <w:rPr>
          <w:sz w:val="18"/>
        </w:rPr>
        <w:t>Saccharomyces</w:t>
      </w:r>
      <w:proofErr w:type="spellEnd"/>
      <w:r w:rsidRPr="00D20D03">
        <w:rPr>
          <w:sz w:val="18"/>
        </w:rPr>
        <w:t xml:space="preserve">  </w:t>
      </w:r>
      <w:proofErr w:type="spellStart"/>
      <w:r w:rsidRPr="00D20D03">
        <w:rPr>
          <w:sz w:val="18"/>
        </w:rPr>
        <w:t>cerevisiae</w:t>
      </w:r>
      <w:proofErr w:type="spellEnd"/>
      <w:proofErr w:type="gramEnd"/>
      <w:r w:rsidRPr="00D20D03">
        <w:rPr>
          <w:sz w:val="18"/>
        </w:rPr>
        <w:t xml:space="preserve">), do kterých byl vložen gen kódující povrchový antigen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viru hepatitidy B. Získaný povrchový antigen (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- hepatitis B </w:t>
      </w:r>
      <w:proofErr w:type="spellStart"/>
      <w:r w:rsidRPr="00D20D03">
        <w:rPr>
          <w:sz w:val="18"/>
        </w:rPr>
        <w:t>surface</w:t>
      </w:r>
      <w:proofErr w:type="spellEnd"/>
      <w:r w:rsidRPr="00D20D03">
        <w:rPr>
          <w:sz w:val="18"/>
        </w:rPr>
        <w:t xml:space="preserve"> antigen) je purifikován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fyzikálně-chemickými metodami a poté je adsorbován na hydroxid hlinitý. Částice antigenu jsou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sférické partikule o průměru 20 </w:t>
      </w:r>
      <w:proofErr w:type="spellStart"/>
      <w:r w:rsidRPr="00D20D03">
        <w:rPr>
          <w:sz w:val="18"/>
        </w:rPr>
        <w:t>nm</w:t>
      </w:r>
      <w:proofErr w:type="spellEnd"/>
      <w:r w:rsidRPr="00D20D03">
        <w:rPr>
          <w:sz w:val="18"/>
        </w:rPr>
        <w:t xml:space="preserve">, které obsahují </w:t>
      </w:r>
      <w:proofErr w:type="spellStart"/>
      <w:r w:rsidRPr="00D20D03">
        <w:rPr>
          <w:sz w:val="18"/>
        </w:rPr>
        <w:t>neglykosylované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polypeptidy a lipidovou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matrici obsahující převážně fosfolipidy.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Vakcína je vysoce </w:t>
      </w:r>
      <w:proofErr w:type="gramStart"/>
      <w:r w:rsidRPr="00D20D03">
        <w:rPr>
          <w:sz w:val="18"/>
        </w:rPr>
        <w:t>purifikovaná  a splňuje</w:t>
      </w:r>
      <w:proofErr w:type="gramEnd"/>
      <w:r w:rsidRPr="00D20D03">
        <w:rPr>
          <w:sz w:val="18"/>
        </w:rPr>
        <w:t xml:space="preserve"> požadavky WHO pro </w:t>
      </w:r>
      <w:proofErr w:type="spellStart"/>
      <w:r w:rsidRPr="00D20D03">
        <w:rPr>
          <w:sz w:val="18"/>
        </w:rPr>
        <w:t>rekombinantní</w:t>
      </w:r>
      <w:proofErr w:type="spellEnd"/>
      <w:r w:rsidRPr="00D20D03">
        <w:rPr>
          <w:sz w:val="18"/>
        </w:rPr>
        <w:t xml:space="preserve"> vakcíny proti hepatitidě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B. Při výrobě nejsou použity žádné látky lidského původu.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indukuje tvorbu specifických </w:t>
      </w:r>
      <w:proofErr w:type="spellStart"/>
      <w:r w:rsidRPr="00D20D03">
        <w:rPr>
          <w:sz w:val="18"/>
        </w:rPr>
        <w:t>anti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protilátek. Za ochranný titr je považována hladina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10 IU/l.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Účinnost v rizikových skupinách novorozenců, dětí a dospělých dosahuje 95 -100 %. Děti 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pozitivních matek očkované podle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0,1 a 2 měsíce nebo podle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0,1 a 6 </w:t>
      </w:r>
      <w:proofErr w:type="gramStart"/>
      <w:r w:rsidRPr="00D20D03">
        <w:rPr>
          <w:sz w:val="18"/>
        </w:rPr>
        <w:t>měsíců  bez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současného podání specifického imunoglobulinu proti hepatitidě B (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) vykazují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účinnost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 95%. Současnou aplikací 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 vzrůstá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účinnost u novorozenců až na 98%.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Účinnost  u zdravých</w:t>
      </w:r>
      <w:proofErr w:type="gramEnd"/>
      <w:r w:rsidRPr="00D20D03">
        <w:rPr>
          <w:sz w:val="18"/>
        </w:rPr>
        <w:t xml:space="preserve"> jedinců: Při očkovacím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0,1 a 6 měsíců je sedm měsíců po aplikaci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první dávky u více než 96 % očkovaných jedinců dosaženo </w:t>
      </w:r>
      <w:proofErr w:type="spellStart"/>
      <w:r w:rsidRPr="00D20D03">
        <w:rPr>
          <w:sz w:val="18"/>
        </w:rPr>
        <w:t>protektivních</w:t>
      </w:r>
      <w:proofErr w:type="spellEnd"/>
      <w:r w:rsidRPr="00D20D03">
        <w:rPr>
          <w:sz w:val="18"/>
        </w:rPr>
        <w:t xml:space="preserve"> hladin protilátek. Při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očkovacím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0,1 a 2 měsíce (posilovací dávka ve 12. měsíci) je jeden měsíc po první dávce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dosaženo odpovídající ochrany u 15 % očkovaných. Jeden měsíc po třetí dávce je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účinnosti dosaženo u 89 % očkovaných a jeden měsíc po posilovací dávce je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účinnosti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dosaženo u  95,8</w:t>
      </w:r>
      <w:proofErr w:type="gramEnd"/>
      <w:r w:rsidRPr="00D20D03">
        <w:rPr>
          <w:sz w:val="18"/>
        </w:rPr>
        <w:t xml:space="preserve"> % očkovaných jedinců. Při očkování ve </w:t>
      </w:r>
      <w:proofErr w:type="spellStart"/>
      <w:r w:rsidRPr="00D20D03">
        <w:rPr>
          <w:sz w:val="18"/>
        </w:rPr>
        <w:t>vyjímečných</w:t>
      </w:r>
      <w:proofErr w:type="spellEnd"/>
      <w:r w:rsidRPr="00D20D03">
        <w:rPr>
          <w:sz w:val="18"/>
        </w:rPr>
        <w:t xml:space="preserve"> případech podle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0, 7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a 21 den (posilovací dávka ve 12. měsíci) se v průběhu 1 až 5 týdnů po třetí dávce vytvoří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hladina protilátek u 65,2 </w:t>
      </w:r>
      <w:proofErr w:type="spellStart"/>
      <w:r w:rsidRPr="00D20D03">
        <w:rPr>
          <w:sz w:val="18"/>
        </w:rPr>
        <w:t>resp</w:t>
      </w:r>
      <w:proofErr w:type="spellEnd"/>
      <w:r w:rsidRPr="00D20D03">
        <w:rPr>
          <w:sz w:val="18"/>
        </w:rPr>
        <w:t xml:space="preserve"> 76 % očkovaných. Jeden měsíc po posilovací dávce je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účinnosti dosaženo u 98,6 % očkovaných jedinců.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Snížení výskytu </w:t>
      </w:r>
      <w:proofErr w:type="spellStart"/>
      <w:r w:rsidRPr="00D20D03">
        <w:rPr>
          <w:sz w:val="18"/>
        </w:rPr>
        <w:t>hepatocelulárního</w:t>
      </w:r>
      <w:proofErr w:type="spellEnd"/>
      <w:r w:rsidRPr="00D20D03">
        <w:rPr>
          <w:sz w:val="18"/>
        </w:rPr>
        <w:t xml:space="preserve"> karcinomu u dětí: Při plošném očkování proti hepatitidě B </w:t>
      </w:r>
      <w:proofErr w:type="gramStart"/>
      <w:r w:rsidRPr="00D20D03">
        <w:rPr>
          <w:sz w:val="18"/>
        </w:rPr>
        <w:t>na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Thaiwanu</w:t>
      </w:r>
      <w:proofErr w:type="spellEnd"/>
      <w:r w:rsidRPr="00D20D03">
        <w:rPr>
          <w:sz w:val="18"/>
        </w:rPr>
        <w:t xml:space="preserve"> bylo ve skupině dětí od 6 do 14 let zaznamenáno snížení výskytu </w:t>
      </w:r>
      <w:proofErr w:type="spellStart"/>
      <w:r w:rsidRPr="00D20D03">
        <w:rPr>
          <w:sz w:val="18"/>
        </w:rPr>
        <w:t>hepatocelulárního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karcinomu (HCC). Toto zjištění se přičítá snížení výskytu hepatitidy B, která hraje při vzniku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hepatocelulárního</w:t>
      </w:r>
      <w:proofErr w:type="spellEnd"/>
      <w:r w:rsidRPr="00D20D03">
        <w:rPr>
          <w:sz w:val="18"/>
        </w:rPr>
        <w:t xml:space="preserve"> karcinomu významnou roli.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Indikace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 se používá k aktivní imunizaci neimunních jedinců každého věku proti infekci způsobené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všemi známými </w:t>
      </w:r>
      <w:proofErr w:type="spellStart"/>
      <w:r w:rsidRPr="00D20D03">
        <w:rPr>
          <w:sz w:val="18"/>
        </w:rPr>
        <w:t>subtypy</w:t>
      </w:r>
      <w:proofErr w:type="spellEnd"/>
      <w:r w:rsidRPr="00D20D03">
        <w:rPr>
          <w:sz w:val="18"/>
        </w:rPr>
        <w:t xml:space="preserve"> viru hepatitidy B (HBV).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Očekává se, že ENGERIX-B bude chránit i proti hepatitidě D, neboť hepatitida D (vyvolaná delta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činitelem) se neobjevuje tam, kde se nevyskytuje hepatitida B.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Je určen pro novorozence, děti, mladistvé a dospělé osoby vystavené riziku expozice </w:t>
      </w:r>
      <w:proofErr w:type="gramStart"/>
      <w:r w:rsidRPr="00D20D03">
        <w:rPr>
          <w:sz w:val="18"/>
        </w:rPr>
        <w:t>HBV,  jako</w:t>
      </w:r>
      <w:proofErr w:type="gramEnd"/>
      <w:r w:rsidRPr="00D20D03">
        <w:rPr>
          <w:sz w:val="18"/>
        </w:rPr>
        <w:t xml:space="preserve"> jsou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zdravotnický personál, pacienti s častým příjmem krevních derivátů, osoby s rizikovým sexuálním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chováním, drogově závislé osoby, osoby s chronickou jaterní insuficiencí nebo osoby, u nichž existuje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riziko možnosti vzniku této nemoci (např. nosiči viru hepatitidy C či alkoholici), osoby pocházející </w:t>
      </w:r>
      <w:proofErr w:type="gramStart"/>
      <w:r w:rsidRPr="00D20D03">
        <w:rPr>
          <w:sz w:val="18"/>
        </w:rPr>
        <w:t>ze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zemí s vysokým výskytem HBV, osoby cestující do oblastí s vysokým endemickým výskytem HBV,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děti narozené 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pozitivním matkám, pacienti se srpkovitou anémií, pacienti čekající  </w:t>
      </w:r>
      <w:proofErr w:type="gramStart"/>
      <w:r w:rsidRPr="00D20D03">
        <w:rPr>
          <w:sz w:val="18"/>
        </w:rPr>
        <w:t>na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transplantaci orgánů. </w:t>
      </w:r>
      <w:proofErr w:type="gramStart"/>
      <w:r w:rsidRPr="00D20D03">
        <w:rPr>
          <w:sz w:val="18"/>
        </w:rPr>
        <w:t>Ostatní</w:t>
      </w:r>
      <w:proofErr w:type="gramEnd"/>
      <w:r w:rsidRPr="00D20D03">
        <w:rPr>
          <w:sz w:val="18"/>
        </w:rPr>
        <w:t xml:space="preserve">: policejní personál, personál požární ochrany, vojáci a všichni, </w:t>
      </w:r>
      <w:proofErr w:type="gramStart"/>
      <w:r w:rsidRPr="00D20D03">
        <w:rPr>
          <w:sz w:val="18"/>
        </w:rPr>
        <w:t>jejichž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zaměstnání nebo životní styl je vystavuje nebezpečí HBV a dále osoby, které byly v rámci své rodiny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nebo jinde v kontaktu s chronickou nebo akutní HBV infekcí.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 České republice se v souladu se očkování provádí v souladu s </w:t>
      </w:r>
      <w:proofErr w:type="gramStart"/>
      <w:r w:rsidRPr="00D20D03">
        <w:rPr>
          <w:sz w:val="18"/>
        </w:rPr>
        <w:t>národním  doporučením</w:t>
      </w:r>
      <w:proofErr w:type="gramEnd"/>
      <w:r w:rsidRPr="00D20D03">
        <w:rPr>
          <w:sz w:val="18"/>
        </w:rPr>
        <w:t xml:space="preserve">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Očkování proti virové hepatitidě B se provede i po neprofesionálním poranění injekční jehlou </w:t>
      </w:r>
      <w:proofErr w:type="gramStart"/>
      <w:r w:rsidRPr="00D20D03">
        <w:rPr>
          <w:sz w:val="18"/>
        </w:rPr>
        <w:t>po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ověření stavu imunity u těch poraněných, u kterých hladina </w:t>
      </w:r>
      <w:proofErr w:type="spellStart"/>
      <w:r w:rsidRPr="00D20D03">
        <w:rPr>
          <w:sz w:val="18"/>
        </w:rPr>
        <w:t>anti</w:t>
      </w:r>
      <w:proofErr w:type="spellEnd"/>
      <w:r w:rsidRPr="00D20D03">
        <w:rPr>
          <w:sz w:val="18"/>
        </w:rPr>
        <w:t>-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protilátek bude nižší než 10 IU/l.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Kontraindikace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lastRenderedPageBreak/>
        <w:t xml:space="preserve">Kontraindikací je známá přecitlivělost na kteroukoliv složku vakcíny. Vakcína nesmí být podána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osobám, které projevily známky přecitlivělosti na předcházející injekci vakcíny ENGERIX-B.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Podobně jako u jiných vakcín musí být očkování </w:t>
      </w:r>
      <w:proofErr w:type="gramStart"/>
      <w:r w:rsidRPr="00D20D03">
        <w:rPr>
          <w:sz w:val="18"/>
        </w:rPr>
        <w:t>odloženo,  jestliže</w:t>
      </w:r>
      <w:proofErr w:type="gramEnd"/>
      <w:r w:rsidRPr="00D20D03">
        <w:rPr>
          <w:sz w:val="18"/>
        </w:rPr>
        <w:t xml:space="preserve"> pacient trpí závažným akutním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horečnatým onemocněním. Lehká infekce bez horeček však není kontraindikací pro očkování.                                                                                                                                              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Těhotenství a kojení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Těhotenství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Nejsou k dispozici náležité údaje o použití vakcíny </w:t>
      </w:r>
      <w:proofErr w:type="spellStart"/>
      <w:r w:rsidRPr="00D20D03">
        <w:rPr>
          <w:sz w:val="18"/>
        </w:rPr>
        <w:t>Engerix</w:t>
      </w:r>
      <w:proofErr w:type="spellEnd"/>
      <w:r w:rsidRPr="00D20D03">
        <w:rPr>
          <w:sz w:val="18"/>
        </w:rPr>
        <w:t xml:space="preserve">-B během těhotenství ani studie </w:t>
      </w:r>
      <w:proofErr w:type="gramStart"/>
      <w:r w:rsidRPr="00D20D03">
        <w:rPr>
          <w:sz w:val="18"/>
        </w:rPr>
        <w:t>na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zvířatech</w:t>
      </w:r>
      <w:proofErr w:type="gramEnd"/>
      <w:r w:rsidRPr="00D20D03">
        <w:rPr>
          <w:sz w:val="18"/>
        </w:rPr>
        <w:t xml:space="preserve"> týkající se reprodukční toxicity.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I když lze předpokládat, že riziko očkování je pro vývoj plodu zanedbatelné, má se ENGERIX-B v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době těhotenství použít jen v případech, kdy je to nezbytně nutné a kdy výhody očkování převýší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možné riziko pro plod.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Kojení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Nejsou k dispozici náležité údaje o použití vakcíny </w:t>
      </w:r>
      <w:proofErr w:type="spellStart"/>
      <w:r w:rsidRPr="00D20D03">
        <w:rPr>
          <w:sz w:val="18"/>
        </w:rPr>
        <w:t>Engerix</w:t>
      </w:r>
      <w:proofErr w:type="spellEnd"/>
      <w:r w:rsidRPr="00D20D03">
        <w:rPr>
          <w:sz w:val="18"/>
        </w:rPr>
        <w:t xml:space="preserve">-B během kojení ani studie na zvířatech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týkající se reprodukční toxicity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Kojení se nepovažuje za kontraindikaci pro očkování.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Nežádoucí účinky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Podobně jako všechny léky, může mít i </w:t>
      </w:r>
      <w:proofErr w:type="spellStart"/>
      <w:r w:rsidRPr="00D20D03">
        <w:rPr>
          <w:sz w:val="18"/>
        </w:rPr>
        <w:t>vakcina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Engerix</w:t>
      </w:r>
      <w:proofErr w:type="spellEnd"/>
      <w:r w:rsidRPr="00D20D03">
        <w:rPr>
          <w:sz w:val="18"/>
        </w:rPr>
        <w:t xml:space="preserve">-B nežádoucí účinky, které se ale nemusí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vyskytnout u každého</w:t>
      </w:r>
      <w:proofErr w:type="gramEnd"/>
      <w:r w:rsidRPr="00D20D03">
        <w:rPr>
          <w:sz w:val="18"/>
        </w:rPr>
        <w:t>.  U tohoto přípravku se vyskytly tyto následující nežádoucí účinky: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Frekvence jsou vyjádřeny takto: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časté: (Mohou se objevit u více než 1 z 10 dávek vakcíny)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Časté: (Mohou se objevit až u 1 z 10 dávek vakcíny)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Méně časté: (Mohou se objevit až 1x ze 100 dávek vakcíny)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(Mohou se objevit až u 1 z 1000 dávek vakcíny)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Velmi vzácné:  (Mohou se objevit u méně než 1 z 10 000 dávek) včetně izolovaných hlášení.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 Klinické studie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krve a lymfatického systému: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lymfadenopatie (onemocnění mízních uzlin)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metabolismu a výživy: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Časté: ztráta chuti k jídlu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Psychiatrické poruchy: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Velmi časté: podrážděnost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nervového systému: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Časté: bolest hlavy (velmi časté u ENGERIX-B 10 µg), ospalost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Méně časté: závrať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parestézie (poruchy čití)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Gastrointestinální poruchy: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Časté: gastrointestinální příznaky (jako je nauzea, zvracení, průjem, bolest břicha)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Poruchy kůže a podkožní tkáně: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vyrážka, svědění, kopřivka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svalové a kosterní soustavy a pojivové tkáně: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Méně časté: bolesti svalů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bolesti kloubů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Celkové poruchy a reakce v </w:t>
      </w:r>
      <w:proofErr w:type="gramStart"/>
      <w:r w:rsidRPr="00D20D03">
        <w:rPr>
          <w:sz w:val="18"/>
        </w:rPr>
        <w:t>místě  aplikace</w:t>
      </w:r>
      <w:proofErr w:type="gramEnd"/>
      <w:r w:rsidRPr="00D20D03">
        <w:rPr>
          <w:sz w:val="18"/>
        </w:rPr>
        <w:t>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Velmi časté: bolest a zarudnutí v místě vpichu, únava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Časté: otok v místě vpichu, </w:t>
      </w:r>
      <w:proofErr w:type="gramStart"/>
      <w:r w:rsidRPr="00D20D03">
        <w:rPr>
          <w:sz w:val="18"/>
        </w:rPr>
        <w:t>nevolnost , reakce</w:t>
      </w:r>
      <w:proofErr w:type="gramEnd"/>
      <w:r w:rsidRPr="00D20D03">
        <w:rPr>
          <w:sz w:val="18"/>
        </w:rPr>
        <w:t xml:space="preserve"> v místě vpichu (např. zduření), horečka (</w:t>
      </w:r>
      <w:r w:rsidRPr="00D20D03">
        <w:rPr>
          <w:sz w:val="18"/>
        </w:rPr>
        <w:t> 37,5°C).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Méně časté: příznaky chřipky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 srovnávací studii provedené na subjektech ve věku od 11 do 15 let včetně byl výskyt místních 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celkových nežádoucích účinků hlášených po aplikaci 2 dávek vakcíny ENGERIX-B 20 µg podobný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jako po aplikaci 3 dávek vakcíny ENGERIX-B 10 µg.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 </w:t>
      </w:r>
      <w:proofErr w:type="spellStart"/>
      <w:r w:rsidRPr="00D20D03">
        <w:rPr>
          <w:sz w:val="18"/>
        </w:rPr>
        <w:t>Postmarketingové</w:t>
      </w:r>
      <w:proofErr w:type="spellEnd"/>
      <w:r w:rsidRPr="00D20D03">
        <w:rPr>
          <w:sz w:val="18"/>
        </w:rPr>
        <w:t xml:space="preserve"> sledování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Kromě výše uvedených nežádoucích účinků z klinických studií, byly hlášeny nežádoucí účinky </w:t>
      </w:r>
      <w:proofErr w:type="gramStart"/>
      <w:r w:rsidRPr="00D20D03">
        <w:rPr>
          <w:sz w:val="18"/>
        </w:rPr>
        <w:t>po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uvedení vakcíny na trh. Stejně jako u jiných vakcín proti hepatitidě B nebyla v řadě případů plně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doložena příčinná souvislost.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krve a lymfatického systému: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Velmi vzácné: trombocytopenie (snížený počet krevních destiček)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Poruchy imunitního systému: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vzácné: </w:t>
      </w:r>
      <w:proofErr w:type="gramStart"/>
      <w:r w:rsidRPr="00D20D03">
        <w:rPr>
          <w:sz w:val="18"/>
        </w:rPr>
        <w:t>anafylaxe( těžká</w:t>
      </w:r>
      <w:proofErr w:type="gramEnd"/>
      <w:r w:rsidRPr="00D20D03">
        <w:rPr>
          <w:sz w:val="18"/>
        </w:rPr>
        <w:t xml:space="preserve"> alergická reakce), alergické reakce včetně </w:t>
      </w:r>
      <w:proofErr w:type="spellStart"/>
      <w:r w:rsidRPr="00D20D03">
        <w:rPr>
          <w:sz w:val="18"/>
        </w:rPr>
        <w:t>anafylaktoidních</w:t>
      </w:r>
      <w:proofErr w:type="spellEnd"/>
      <w:r w:rsidRPr="00D20D03">
        <w:rPr>
          <w:sz w:val="18"/>
        </w:rPr>
        <w:t xml:space="preserve"> reakcí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připomínajících sérovou nemoc, lymfadenopatie (onemocnění mízních uzlin)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Poruchy nervového systému: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Vzácné: závrať, bolest </w:t>
      </w:r>
      <w:proofErr w:type="gramStart"/>
      <w:r w:rsidRPr="00D20D03">
        <w:rPr>
          <w:sz w:val="18"/>
        </w:rPr>
        <w:t>hlavy,parestézie</w:t>
      </w:r>
      <w:proofErr w:type="gramEnd"/>
      <w:r w:rsidRPr="00D20D03">
        <w:rPr>
          <w:sz w:val="18"/>
        </w:rPr>
        <w:t xml:space="preserve"> (poruchy čití)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vzácné: kolaps, křeče, paralýza (ochrnutí), </w:t>
      </w:r>
      <w:proofErr w:type="spellStart"/>
      <w:r w:rsidRPr="00D20D03">
        <w:rPr>
          <w:sz w:val="18"/>
        </w:rPr>
        <w:t>onemocnení</w:t>
      </w:r>
      <w:proofErr w:type="spellEnd"/>
      <w:r w:rsidRPr="00D20D03">
        <w:rPr>
          <w:sz w:val="18"/>
        </w:rPr>
        <w:t xml:space="preserve"> nervů - neuropatie, neuritida (syndrom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proofErr w:type="gramStart"/>
      <w:r w:rsidRPr="00D20D03">
        <w:rPr>
          <w:sz w:val="18"/>
        </w:rPr>
        <w:t>Guillain</w:t>
      </w:r>
      <w:proofErr w:type="spellEnd"/>
      <w:r w:rsidRPr="00D20D03">
        <w:rPr>
          <w:sz w:val="18"/>
        </w:rPr>
        <w:t xml:space="preserve"> –</w:t>
      </w:r>
      <w:proofErr w:type="spellStart"/>
      <w:r w:rsidRPr="00D20D03">
        <w:rPr>
          <w:sz w:val="18"/>
        </w:rPr>
        <w:t>Barré</w:t>
      </w:r>
      <w:proofErr w:type="spellEnd"/>
      <w:proofErr w:type="gramEnd"/>
      <w:r w:rsidRPr="00D20D03">
        <w:rPr>
          <w:sz w:val="18"/>
        </w:rPr>
        <w:t xml:space="preserve">, zánět očního nervu, skleróza multiplex), onemocnění mozku - encefalopatie,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lastRenderedPageBreak/>
        <w:t>encefalitida, meningitida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Cévní poruchy: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vzácné: hypotenze (nízký krevní tlak), vaskulitida (zánětlivé onemocnění cév)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Respirační, hrudní a mediastinální poruchy: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vzácně: bronchospasmus (zúžení průdušek), apnoe (delší pauzy mezi jednotlivými dechy) 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předčasně narozených dětí (narozených v ≤ 28. týdnu </w:t>
      </w:r>
      <w:proofErr w:type="gramStart"/>
      <w:r w:rsidRPr="00D20D03">
        <w:rPr>
          <w:sz w:val="18"/>
        </w:rPr>
        <w:t>těhotenství) (viz</w:t>
      </w:r>
      <w:proofErr w:type="gramEnd"/>
      <w:r w:rsidRPr="00D20D03">
        <w:rPr>
          <w:sz w:val="18"/>
        </w:rPr>
        <w:t xml:space="preserve"> bod 4.4)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Gastrointestinální poruchy: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nevolnost, zvracení, průjem, bolest břicha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Poruchy kůže a podkožní tkáně: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vyrážka, svědění, kopřivka.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Velmi vzácné: otok obličeje, rtů, úst, </w:t>
      </w:r>
      <w:proofErr w:type="gramStart"/>
      <w:r w:rsidRPr="00D20D03">
        <w:rPr>
          <w:sz w:val="18"/>
        </w:rPr>
        <w:t>jazyka  nebo</w:t>
      </w:r>
      <w:proofErr w:type="gramEnd"/>
      <w:r w:rsidRPr="00D20D03">
        <w:rPr>
          <w:sz w:val="18"/>
        </w:rPr>
        <w:t xml:space="preserve"> krku, který může být příčinou obtíží při polykání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nebo dýchání (angioneurotický edém), </w:t>
      </w:r>
      <w:proofErr w:type="spellStart"/>
      <w:r w:rsidRPr="00D20D03">
        <w:rPr>
          <w:sz w:val="18"/>
        </w:rPr>
        <w:t>lichen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planus</w:t>
      </w:r>
      <w:proofErr w:type="spellEnd"/>
      <w:r w:rsidRPr="00D20D03">
        <w:rPr>
          <w:sz w:val="18"/>
        </w:rPr>
        <w:t xml:space="preserve"> (svědivá vyrážka), </w:t>
      </w:r>
      <w:proofErr w:type="spellStart"/>
      <w:r w:rsidRPr="00D20D03">
        <w:rPr>
          <w:sz w:val="18"/>
        </w:rPr>
        <w:t>erythema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multiforme</w:t>
      </w:r>
      <w:proofErr w:type="spellEnd"/>
      <w:r w:rsidRPr="00D20D03">
        <w:rPr>
          <w:sz w:val="18"/>
        </w:rPr>
        <w:t xml:space="preserve"> (kožní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onemocnění)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Poruchy svalové a kosterní soustavy a pojivové tkáně: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Vzácné: bolest kloubů, svalová slabost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Velmi vzácné: artritida (zánět kloubů)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Celkové </w:t>
      </w:r>
      <w:proofErr w:type="gramStart"/>
      <w:r w:rsidRPr="00D20D03">
        <w:rPr>
          <w:sz w:val="18"/>
        </w:rPr>
        <w:t>poruchy a  reakce</w:t>
      </w:r>
      <w:proofErr w:type="gramEnd"/>
      <w:r w:rsidRPr="00D20D03">
        <w:rPr>
          <w:sz w:val="18"/>
        </w:rPr>
        <w:t xml:space="preserve"> v místě aplikace: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Časté: bolest, zarudnutí nebo zatvrdnutí v místě vpichu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Méně časté: únava, horečka, nevolnost, příznaky chřipky.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Posilovací dávka je snášena stejně dobře jako dávky základního očkovacího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>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Pokud se kterýkoli z nežádoucích účinků vyskytne v závažné míře, nebo pokud si všimnete jakýchkoli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nežádoucích účinků, které nejsou uvedeny v této příbalové informaci, prosím, sdělte to svému lékaři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nebo </w:t>
      </w:r>
      <w:proofErr w:type="spellStart"/>
      <w:r w:rsidRPr="00D20D03">
        <w:rPr>
          <w:sz w:val="18"/>
        </w:rPr>
        <w:t>lékarníkovi</w:t>
      </w:r>
      <w:proofErr w:type="spellEnd"/>
      <w:r w:rsidRPr="00D20D03">
        <w:rPr>
          <w:sz w:val="18"/>
        </w:rPr>
        <w:t>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Interakce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Současná aplikace ENGERIX-B a standardní dávky  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 nedává nižší výsledky v titru </w:t>
      </w:r>
      <w:proofErr w:type="spellStart"/>
      <w:r w:rsidRPr="00D20D03">
        <w:rPr>
          <w:sz w:val="18"/>
        </w:rPr>
        <w:t>anti</w:t>
      </w:r>
      <w:proofErr w:type="spellEnd"/>
      <w:r w:rsidRPr="00D20D03">
        <w:rPr>
          <w:sz w:val="18"/>
        </w:rPr>
        <w:t>-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protilátek, jestliže jsou injekce podány do různých míst. ENGERIX-B může být současně aplikován s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kombinovanými vakcínami proti difterii, tetanu a pertusi (DTP), difterii a tetanu (DT) nebo s vakcínou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proti poliomyelitidě či proti tuberkulóze (BCG), pokud to vyhovuje očkovacímu kalendáři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doporučenému národní autoritou.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Vakcína může být také aplikována současně s vakcínou proti spalničkám, příušnicím a zarděnkám, s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vakcínou proti </w:t>
      </w:r>
      <w:proofErr w:type="spellStart"/>
      <w:r w:rsidRPr="00D20D03">
        <w:rPr>
          <w:sz w:val="18"/>
        </w:rPr>
        <w:t>Haemophilus</w:t>
      </w:r>
      <w:proofErr w:type="spell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influenzae</w:t>
      </w:r>
      <w:proofErr w:type="spellEnd"/>
      <w:r w:rsidRPr="00D20D03">
        <w:rPr>
          <w:sz w:val="18"/>
        </w:rPr>
        <w:t xml:space="preserve"> a proti hepatitidě A. Různé vakcíny musí být aplikovány </w:t>
      </w:r>
      <w:proofErr w:type="gramStart"/>
      <w:r w:rsidRPr="00D20D03">
        <w:rPr>
          <w:sz w:val="18"/>
        </w:rPr>
        <w:t>do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různých  míst</w:t>
      </w:r>
      <w:proofErr w:type="gramEnd"/>
      <w:r w:rsidRPr="00D20D03">
        <w:rPr>
          <w:sz w:val="18"/>
        </w:rPr>
        <w:t>, není možné je mísit v jedné stříkačce.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 může být použit k dokončení základního očkování (a pokud je to nutné i k přeočkování)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započatého vakcínami získanými z krevní plasmy nebo jinými vakcínami připravenými metodou </w:t>
      </w:r>
    </w:p>
    <w:p w:rsidR="00D20D03" w:rsidRPr="0065379E" w:rsidRDefault="00D20D03" w:rsidP="0065379E">
      <w:pPr>
        <w:pStyle w:val="Bezmezer"/>
        <w:tabs>
          <w:tab w:val="left" w:pos="2003"/>
        </w:tabs>
        <w:rPr>
          <w:b/>
          <w:sz w:val="18"/>
        </w:rPr>
      </w:pPr>
      <w:r w:rsidRPr="00D20D03">
        <w:rPr>
          <w:sz w:val="18"/>
        </w:rPr>
        <w:t xml:space="preserve">genového inženýrství. </w:t>
      </w:r>
      <w:r w:rsidR="0065379E" w:rsidRPr="0065379E">
        <w:rPr>
          <w:b/>
          <w:sz w:val="18"/>
        </w:rPr>
        <w:tab/>
      </w:r>
    </w:p>
    <w:p w:rsidR="00D20D03" w:rsidRPr="00D20D03" w:rsidRDefault="00D20D03" w:rsidP="00D20D03">
      <w:pPr>
        <w:pStyle w:val="Bezmezer"/>
        <w:rPr>
          <w:sz w:val="18"/>
        </w:rPr>
      </w:pPr>
      <w:r w:rsidRPr="0065379E">
        <w:rPr>
          <w:b/>
          <w:sz w:val="18"/>
        </w:rPr>
        <w:t xml:space="preserve">Dávkování a způsob podání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Dávkování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20 µg (1 ml/dávka) je určen k očkování dospělých a mladistvých starších 15 let.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10 µg (0,5 ml/dávka) je určen k očkování novorozenců, kojenců a dětí do 15 let. U dětí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mezi 10 až 15 roky je možné použít i 20 µg dávku, pokud lze očekávat nízkou úroveň spolupráce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očkovaných, protože po dvou dávkách vakcíny o této síle dosáhne vyšší procento očkovaných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hladiny protilátek (≥ 10 IU/l).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 souladu s národním doporučením se první dávka očkovací látky podá dětem v prvních měsících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života . V případě</w:t>
      </w:r>
      <w:proofErr w:type="gramEnd"/>
      <w:r w:rsidRPr="00D20D03">
        <w:rPr>
          <w:sz w:val="18"/>
        </w:rPr>
        <w:t xml:space="preserve"> dětí, které nebyly proti virové hepatitidě B očkovány v prvních měsících života, se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provede očkování ve dvanáctém roce života.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Základní očkování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K dosažení optimální ochrany se podávají formou intramuskulární injekce tři dávky vakcíny.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Doporučují se dvě </w:t>
      </w:r>
      <w:proofErr w:type="spellStart"/>
      <w:r w:rsidRPr="00D20D03">
        <w:rPr>
          <w:sz w:val="18"/>
        </w:rPr>
        <w:t>schemata</w:t>
      </w:r>
      <w:proofErr w:type="spellEnd"/>
      <w:r w:rsidRPr="00D20D03">
        <w:rPr>
          <w:sz w:val="18"/>
        </w:rPr>
        <w:t xml:space="preserve"> základního očkování: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Zrychlené </w:t>
      </w: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, s aplikací dávek v 0., 1. a 2. měsíci. Ochrana se vytvoří rychleji a očekává se lepší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spolupráce očkovaných. Při tomto očkovacím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se aplikuje ještě 4. dávka, a to 12 měsíců </w:t>
      </w:r>
      <w:proofErr w:type="gramStart"/>
      <w:r w:rsidRPr="00D20D03">
        <w:rPr>
          <w:sz w:val="18"/>
        </w:rPr>
        <w:t>po</w:t>
      </w:r>
      <w:proofErr w:type="gramEnd"/>
      <w:r w:rsidRPr="00D20D03">
        <w:rPr>
          <w:sz w:val="18"/>
        </w:rPr>
        <w:t xml:space="preserve">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dávce první. U dětí toto </w:t>
      </w: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 umožní současnou aplikaci vakcíny spolu s ostatními dětskými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vakcínami.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, kdy se aplikují tři dávky, a to v 0., 1. a 6. měsíci. Ochrana se vytvoří za delší dobu, vznikne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však vyšší hladina protilátek. Toto </w:t>
      </w: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 je doporučeno zvláště pro děti do 15 let. Používá se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nejčastěji i při očkování dospělých. Podle tohoto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se provádí pravidelné očkování proti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hepatitidě B v České republice.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Ve výjimečných případech, kdy je požadována rychlejší indukce tvorby specifických </w:t>
      </w:r>
      <w:proofErr w:type="spellStart"/>
      <w:r w:rsidRPr="00D20D03">
        <w:rPr>
          <w:sz w:val="18"/>
        </w:rPr>
        <w:t>anti</w:t>
      </w:r>
      <w:proofErr w:type="spellEnd"/>
      <w:r w:rsidRPr="00D20D03">
        <w:rPr>
          <w:sz w:val="18"/>
        </w:rPr>
        <w:t>-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protilátek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(např. u osob cestujících do oblastí s vysokým výskytem hepatitidy B, u nichž nelze z časových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důvodů použít výše uvedená </w:t>
      </w:r>
      <w:proofErr w:type="spellStart"/>
      <w:r w:rsidRPr="00D20D03">
        <w:rPr>
          <w:sz w:val="18"/>
        </w:rPr>
        <w:t>schemata</w:t>
      </w:r>
      <w:proofErr w:type="spellEnd"/>
      <w:r w:rsidRPr="00D20D03">
        <w:rPr>
          <w:sz w:val="18"/>
        </w:rPr>
        <w:t xml:space="preserve">), může být u dospělých osob aplikován ENGERIX-B ve třech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dávkách</w:t>
      </w:r>
      <w:proofErr w:type="gramEnd"/>
      <w:r w:rsidRPr="00D20D03">
        <w:rPr>
          <w:sz w:val="18"/>
        </w:rPr>
        <w:t xml:space="preserve"> aplikovaných v intervalu 0., 7. a 21. den. Při tomto očkovacím </w:t>
      </w:r>
      <w:proofErr w:type="spellStart"/>
      <w:r w:rsidRPr="00D20D03">
        <w:rPr>
          <w:sz w:val="18"/>
        </w:rPr>
        <w:t>schematu</w:t>
      </w:r>
      <w:proofErr w:type="spellEnd"/>
      <w:r w:rsidRPr="00D20D03">
        <w:rPr>
          <w:sz w:val="18"/>
        </w:rPr>
        <w:t xml:space="preserve"> se aplikuje ještě 4.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dávka, a to 12 měsíců po dávce první.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Přeočkování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lastRenderedPageBreak/>
        <w:t xml:space="preserve">Nutnost přeočkování zdravých jedinců nebyla prokázána, doporučuje se postupovat podle oficiálních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očkovacích programů.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U některých skupin jedinců nebo pacientů vystavených nebezpečí nákazy virem hepatitidy B (např.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hemodialyzovaní</w:t>
      </w:r>
      <w:proofErr w:type="spellEnd"/>
      <w:r w:rsidRPr="00D20D03">
        <w:rPr>
          <w:sz w:val="18"/>
        </w:rPr>
        <w:t xml:space="preserve"> pacienti nebo pacienti s poškozeným imunitním systémem) je nutné podáním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posilovací dávky zajistit </w:t>
      </w:r>
      <w:proofErr w:type="spellStart"/>
      <w:r w:rsidRPr="00D20D03">
        <w:rPr>
          <w:sz w:val="18"/>
        </w:rPr>
        <w:t>protektivní</w:t>
      </w:r>
      <w:proofErr w:type="spellEnd"/>
      <w:r w:rsidRPr="00D20D03">
        <w:rPr>
          <w:sz w:val="18"/>
        </w:rPr>
        <w:t xml:space="preserve"> hladinu protilátek (</w:t>
      </w:r>
      <w:r w:rsidRPr="00D20D03">
        <w:rPr>
          <w:sz w:val="18"/>
        </w:rPr>
        <w:t xml:space="preserve">10 IU/l).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Doporučené dávkování ve zvláštních případech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Doporučené dávkování pro novorozence 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pozitivních matek se řídí národním doporučením. S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očkováním se má začít nejpozději do 24 hodin po narození, a to ještě před podáním očkovací látky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proti tuberkulóze. Je-li dostupný specifický imunoglobulin proti hepatitidě B (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), je ke zvýšení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spellStart"/>
      <w:r w:rsidRPr="00D20D03">
        <w:rPr>
          <w:sz w:val="18"/>
        </w:rPr>
        <w:t>protektivního</w:t>
      </w:r>
      <w:proofErr w:type="spellEnd"/>
      <w:r w:rsidRPr="00D20D03">
        <w:rPr>
          <w:sz w:val="18"/>
        </w:rPr>
        <w:t xml:space="preserve"> účinku možné podat ENGERIX-B 10 µg a 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 současně. Je však nutné aplikovat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10 µg a 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 do různých míst. V očkování se dále pokračuje podle oficiálních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doporučení.           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U </w:t>
      </w:r>
      <w:proofErr w:type="gramStart"/>
      <w:r w:rsidRPr="00D20D03">
        <w:rPr>
          <w:sz w:val="18"/>
        </w:rPr>
        <w:t>osob  se</w:t>
      </w:r>
      <w:proofErr w:type="gramEnd"/>
      <w:r w:rsidRPr="00D20D03">
        <w:rPr>
          <w:sz w:val="18"/>
        </w:rPr>
        <w:t xml:space="preserve"> známou nebo předpokládanou expozicí HBV (například při poranění kontaminovanou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injekční jehlou) se první dávka ENGERIX-B  podává současně s </w:t>
      </w:r>
      <w:proofErr w:type="spellStart"/>
      <w:r w:rsidRPr="00D20D03">
        <w:rPr>
          <w:sz w:val="18"/>
        </w:rPr>
        <w:t>HBIg</w:t>
      </w:r>
      <w:proofErr w:type="spellEnd"/>
      <w:r w:rsidRPr="00D20D03">
        <w:rPr>
          <w:sz w:val="18"/>
        </w:rPr>
        <w:t xml:space="preserve">, a to do různých míst. Je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doporučeno zrychlené očkovací </w:t>
      </w: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Základní očkovací </w:t>
      </w:r>
      <w:proofErr w:type="spellStart"/>
      <w:r w:rsidRPr="00D20D03">
        <w:rPr>
          <w:sz w:val="18"/>
        </w:rPr>
        <w:t>schema</w:t>
      </w:r>
      <w:proofErr w:type="spellEnd"/>
      <w:r w:rsidRPr="00D20D03">
        <w:rPr>
          <w:sz w:val="18"/>
        </w:rPr>
        <w:t xml:space="preserve"> pro chronicky dialyzované pacienty a pro osoby s narušeným imunitním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systémem představují 4 dávky po 40 µg </w:t>
      </w:r>
      <w:proofErr w:type="spellStart"/>
      <w:r w:rsidRPr="00D20D03">
        <w:rPr>
          <w:sz w:val="18"/>
        </w:rPr>
        <w:t>HBsAg</w:t>
      </w:r>
      <w:proofErr w:type="spellEnd"/>
      <w:r w:rsidRPr="00D20D03">
        <w:rPr>
          <w:sz w:val="18"/>
        </w:rPr>
        <w:t xml:space="preserve"> podané v </w:t>
      </w:r>
      <w:proofErr w:type="gramStart"/>
      <w:r w:rsidRPr="00D20D03">
        <w:rPr>
          <w:sz w:val="18"/>
        </w:rPr>
        <w:t>den  0 a potom</w:t>
      </w:r>
      <w:proofErr w:type="gramEnd"/>
      <w:r w:rsidRPr="00D20D03">
        <w:rPr>
          <w:sz w:val="18"/>
        </w:rPr>
        <w:t xml:space="preserve"> za 1, 2 a 6 měsíců po první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dávce. Případné další dávky by se měly podávat tak, aby titr 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protilátek neustále převyšoval 10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IU/l.</w:t>
      </w:r>
    </w:p>
    <w:p w:rsidR="00D20D03" w:rsidRPr="0065379E" w:rsidRDefault="00D20D03" w:rsidP="00D20D03">
      <w:pPr>
        <w:pStyle w:val="Bezmezer"/>
        <w:rPr>
          <w:sz w:val="18"/>
        </w:rPr>
      </w:pPr>
      <w:r w:rsidRPr="0065379E">
        <w:rPr>
          <w:sz w:val="18"/>
        </w:rPr>
        <w:t xml:space="preserve">Způsob podání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Dospělým a dětem se ENGERIX-B aplikuje intramuskulárně do </w:t>
      </w:r>
      <w:proofErr w:type="spellStart"/>
      <w:r w:rsidRPr="00D20D03">
        <w:rPr>
          <w:sz w:val="18"/>
        </w:rPr>
        <w:t>deltoidní</w:t>
      </w:r>
      <w:proofErr w:type="spellEnd"/>
      <w:r w:rsidRPr="00D20D03">
        <w:rPr>
          <w:sz w:val="18"/>
        </w:rPr>
        <w:t xml:space="preserve"> oblasti, novorozencům,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kojencům a malým </w:t>
      </w:r>
      <w:proofErr w:type="gramStart"/>
      <w:r w:rsidRPr="00D20D03">
        <w:rPr>
          <w:sz w:val="18"/>
        </w:rPr>
        <w:t>dětem  se</w:t>
      </w:r>
      <w:proofErr w:type="gramEnd"/>
      <w:r w:rsidRPr="00D20D03">
        <w:rPr>
          <w:sz w:val="18"/>
        </w:rPr>
        <w:t xml:space="preserve"> aplikuje do vnější strany stehna. U pacientů s poruchami srážlivosti krve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se</w:t>
      </w:r>
      <w:proofErr w:type="gramEnd"/>
      <w:r w:rsidRPr="00D20D03">
        <w:rPr>
          <w:sz w:val="18"/>
        </w:rPr>
        <w:t xml:space="preserve"> </w:t>
      </w:r>
      <w:proofErr w:type="spellStart"/>
      <w:r w:rsidRPr="00D20D03">
        <w:rPr>
          <w:sz w:val="18"/>
        </w:rPr>
        <w:t>vyjímečně</w:t>
      </w:r>
      <w:proofErr w:type="spellEnd"/>
      <w:r w:rsidRPr="00D20D03">
        <w:rPr>
          <w:sz w:val="18"/>
        </w:rPr>
        <w:t xml:space="preserve"> </w:t>
      </w:r>
      <w:proofErr w:type="gramStart"/>
      <w:r w:rsidRPr="00D20D03">
        <w:rPr>
          <w:sz w:val="18"/>
        </w:rPr>
        <w:t>může</w:t>
      </w:r>
      <w:proofErr w:type="gramEnd"/>
      <w:r w:rsidRPr="00D20D03">
        <w:rPr>
          <w:sz w:val="18"/>
        </w:rPr>
        <w:t xml:space="preserve"> podávat subkutánně. ENGERIX-B by se neměl aplikovat do </w:t>
      </w:r>
      <w:proofErr w:type="spellStart"/>
      <w:r w:rsidRPr="00D20D03">
        <w:rPr>
          <w:sz w:val="18"/>
        </w:rPr>
        <w:t>gluteálního</w:t>
      </w:r>
      <w:proofErr w:type="spellEnd"/>
      <w:r w:rsidRPr="00D20D03">
        <w:rPr>
          <w:sz w:val="18"/>
        </w:rPr>
        <w:t xml:space="preserve"> svalu ani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intradermálně, protože by to mohlo vyvolat nižší imunitní odpověď.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ENGERIX-B se v žádném případě nesmí podávat intravenózně!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Upozornění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Vzhledem k dlouhé inkubační době hepatitidy B je možné, že očkovaná osoba by mohla být v průběhu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očkování již infikována. V takových případech nemusí očkování chránit proti infekci.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 nechrání proti hepatitidě A, C a E, ani proti jiným infekčním činitelům které způsobují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onemocnění jater.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Imunitní odpověď po podání vakcíny je ovlivněna řadou </w:t>
      </w:r>
      <w:proofErr w:type="gramStart"/>
      <w:r w:rsidRPr="00D20D03">
        <w:rPr>
          <w:sz w:val="18"/>
        </w:rPr>
        <w:t>faktorů jako</w:t>
      </w:r>
      <w:proofErr w:type="gramEnd"/>
      <w:r w:rsidRPr="00D20D03">
        <w:rPr>
          <w:sz w:val="18"/>
        </w:rPr>
        <w:t xml:space="preserve"> je  věk, pohlaví, obezita, kouření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nebo způsob podání. U těch očkovaných, u nichž by imunitní odpověď mohla být slabší (například lidé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nad 40 let, kuřáci a obézní osoby) lze zvážit podání dalších dávek.      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U </w:t>
      </w:r>
      <w:proofErr w:type="spellStart"/>
      <w:r w:rsidRPr="00D20D03">
        <w:rPr>
          <w:sz w:val="18"/>
        </w:rPr>
        <w:t>hemodialyzovaných</w:t>
      </w:r>
      <w:proofErr w:type="spellEnd"/>
      <w:r w:rsidRPr="00D20D03">
        <w:rPr>
          <w:sz w:val="18"/>
        </w:rPr>
        <w:t xml:space="preserve"> pacientů, HIV infikovaných pacientů a u osob s poškozeným imunitním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systémem se po základním očkování nemusí vyvinout odpovídající titr </w:t>
      </w:r>
      <w:proofErr w:type="spellStart"/>
      <w:r w:rsidRPr="00D20D03">
        <w:rPr>
          <w:sz w:val="18"/>
        </w:rPr>
        <w:t>anti</w:t>
      </w:r>
      <w:proofErr w:type="spellEnd"/>
      <w:r w:rsidRPr="00D20D03">
        <w:rPr>
          <w:sz w:val="18"/>
        </w:rPr>
        <w:t>-</w:t>
      </w:r>
      <w:proofErr w:type="spellStart"/>
      <w:r w:rsidRPr="00D20D03">
        <w:rPr>
          <w:sz w:val="18"/>
        </w:rPr>
        <w:t>HBs</w:t>
      </w:r>
      <w:proofErr w:type="spellEnd"/>
      <w:r w:rsidRPr="00D20D03">
        <w:rPr>
          <w:sz w:val="18"/>
        </w:rPr>
        <w:t xml:space="preserve"> protilátek. V takových </w:t>
      </w:r>
    </w:p>
    <w:p w:rsidR="00D20D03" w:rsidRPr="00D20D03" w:rsidRDefault="00D20D03" w:rsidP="00D20D03">
      <w:pPr>
        <w:pStyle w:val="Bezmezer"/>
        <w:rPr>
          <w:sz w:val="18"/>
        </w:rPr>
      </w:pPr>
      <w:proofErr w:type="gramStart"/>
      <w:r w:rsidRPr="00D20D03">
        <w:rPr>
          <w:sz w:val="18"/>
        </w:rPr>
        <w:t>případech</w:t>
      </w:r>
      <w:proofErr w:type="gramEnd"/>
      <w:r w:rsidRPr="00D20D03">
        <w:rPr>
          <w:sz w:val="18"/>
        </w:rPr>
        <w:t xml:space="preserve"> se doporučuje aplikace dalších dávek vakcíny.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Při aplikaci vakcíny ENGERIX-B by lékař měl mít k </w:t>
      </w:r>
      <w:proofErr w:type="gramStart"/>
      <w:r w:rsidRPr="00D20D03">
        <w:rPr>
          <w:sz w:val="18"/>
        </w:rPr>
        <w:t>dispozici  prostředky</w:t>
      </w:r>
      <w:proofErr w:type="gramEnd"/>
      <w:r w:rsidRPr="00D20D03">
        <w:rPr>
          <w:sz w:val="18"/>
        </w:rPr>
        <w:t xml:space="preserve"> (např. adrenalin) ke zvládnutí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anafylaktického šoku. 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Uchovávání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ENGERIX-B musí být uchováván při teplotě  2 - 8 °C (v chladničce). Nesmí zmrznout.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Varování                            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Pokud vakcína zmrzla, musí být znehodnocena. Před použitím musí být každé balení podrobeno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vizuální kontrole. Vakcína musí mít (po případném protřepání) vzhled mírně kalné bílé suspenze bez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větších částic. Pokud vzhledově nevyhovuje, musí být vyřazena.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Přípravek nesmí být používán po uplynutí doby použitelnosti vyznačené na obalu. Protože vakcína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neobsahuje žádnou konzervační přísadu, musí se použít ihned, jakmile </w:t>
      </w:r>
      <w:proofErr w:type="gramStart"/>
      <w:r w:rsidRPr="00D20D03">
        <w:rPr>
          <w:sz w:val="18"/>
        </w:rPr>
        <w:t>se</w:t>
      </w:r>
      <w:proofErr w:type="gramEnd"/>
      <w:r w:rsidRPr="00D20D03">
        <w:rPr>
          <w:sz w:val="18"/>
        </w:rPr>
        <w:t xml:space="preserve"> během přípravy k aplikaci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poruší vnitřní ochranné prostředí originálního balení.                                                                                                                                            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>Přípravek musí být uchováván mimo dosah a dohled dětí.</w:t>
      </w:r>
    </w:p>
    <w:p w:rsidR="00D20D03" w:rsidRPr="0065379E" w:rsidRDefault="00D20D03" w:rsidP="00D20D03">
      <w:pPr>
        <w:pStyle w:val="Bezmezer"/>
        <w:rPr>
          <w:b/>
          <w:sz w:val="18"/>
        </w:rPr>
      </w:pPr>
      <w:r w:rsidRPr="0065379E">
        <w:rPr>
          <w:b/>
          <w:sz w:val="18"/>
        </w:rPr>
        <w:t xml:space="preserve">Velikost balení    </w:t>
      </w:r>
    </w:p>
    <w:p w:rsidR="00D20D03" w:rsidRPr="00D20D03" w:rsidRDefault="00D20D03" w:rsidP="00D20D03">
      <w:pPr>
        <w:pStyle w:val="Bezmezer"/>
        <w:rPr>
          <w:sz w:val="18"/>
        </w:rPr>
      </w:pPr>
      <w:r w:rsidRPr="00D20D03">
        <w:rPr>
          <w:sz w:val="18"/>
        </w:rPr>
        <w:t xml:space="preserve">ENGERIX-B 20 µg: 1 x 1 ml, 10 x 1 ml, 25 x 1 ml a 100 x 1 ml.                                                                                                                                                                                         </w:t>
      </w:r>
    </w:p>
    <w:p w:rsidR="00567B66" w:rsidRPr="00D20D03" w:rsidRDefault="00D20D03" w:rsidP="000359AF">
      <w:pPr>
        <w:pStyle w:val="Bezmezer"/>
        <w:rPr>
          <w:sz w:val="18"/>
        </w:rPr>
      </w:pPr>
      <w:r w:rsidRPr="00D20D03">
        <w:rPr>
          <w:sz w:val="18"/>
        </w:rPr>
        <w:t xml:space="preserve">ENGERIX-B 10 µg:, 1 x 0,5 </w:t>
      </w:r>
      <w:proofErr w:type="gramStart"/>
      <w:r w:rsidRPr="00D20D03">
        <w:rPr>
          <w:sz w:val="18"/>
        </w:rPr>
        <w:t>ml,  25</w:t>
      </w:r>
      <w:proofErr w:type="gramEnd"/>
      <w:r w:rsidRPr="00D20D03">
        <w:rPr>
          <w:sz w:val="18"/>
        </w:rPr>
        <w:t xml:space="preserve"> x 0,5 ml a 100 x 0,5 ml.</w:t>
      </w:r>
      <w:r w:rsidR="00176F6D" w:rsidRPr="00D20D03">
        <w:rPr>
          <w:sz w:val="18"/>
        </w:rPr>
        <w:t xml:space="preserve"> </w:t>
      </w:r>
    </w:p>
    <w:sectPr w:rsidR="00567B66" w:rsidRPr="00D20D03" w:rsidSect="00C4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7B66"/>
    <w:rsid w:val="000359AF"/>
    <w:rsid w:val="00176F6D"/>
    <w:rsid w:val="001F3841"/>
    <w:rsid w:val="00423A71"/>
    <w:rsid w:val="00567B66"/>
    <w:rsid w:val="0065379E"/>
    <w:rsid w:val="006D423F"/>
    <w:rsid w:val="00761A15"/>
    <w:rsid w:val="008741D3"/>
    <w:rsid w:val="00C40C1D"/>
    <w:rsid w:val="00D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1D"/>
  </w:style>
  <w:style w:type="paragraph" w:styleId="Nadpis1">
    <w:name w:val="heading 1"/>
    <w:basedOn w:val="Normln"/>
    <w:link w:val="Nadpis1Char"/>
    <w:uiPriority w:val="9"/>
    <w:qFormat/>
    <w:rsid w:val="0087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41D3"/>
  </w:style>
  <w:style w:type="paragraph" w:styleId="Bezmezer">
    <w:name w:val="No Spacing"/>
    <w:uiPriority w:val="1"/>
    <w:qFormat/>
    <w:rsid w:val="006D4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3155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4</cp:revision>
  <dcterms:created xsi:type="dcterms:W3CDTF">2012-03-04T17:16:00Z</dcterms:created>
  <dcterms:modified xsi:type="dcterms:W3CDTF">2012-03-04T18:33:00Z</dcterms:modified>
</cp:coreProperties>
</file>