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CC" w:rsidRPr="00B85ACC" w:rsidRDefault="00DC2368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32"/>
          <w:szCs w:val="32"/>
          <w:u w:val="single"/>
        </w:rPr>
      </w:pPr>
      <w:proofErr w:type="spellStart"/>
      <w:r>
        <w:rPr>
          <w:rFonts w:asciiTheme="majorHAnsi" w:hAnsiTheme="majorHAnsi" w:cs="TimesNewRomanPS-BoldMT"/>
          <w:b/>
          <w:bCs/>
          <w:color w:val="000000"/>
          <w:sz w:val="32"/>
          <w:szCs w:val="32"/>
          <w:u w:val="single"/>
        </w:rPr>
        <w:t>Infanrix</w:t>
      </w:r>
      <w:proofErr w:type="spellEnd"/>
      <w:r>
        <w:rPr>
          <w:rFonts w:asciiTheme="majorHAnsi" w:hAnsiTheme="majorHAnsi" w:cs="TimesNewRomanPS-BoldMT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Theme="majorHAnsi" w:hAnsiTheme="majorHAnsi" w:cs="TimesNewRomanPS-BoldMT"/>
          <w:b/>
          <w:bCs/>
          <w:color w:val="000000"/>
          <w:sz w:val="32"/>
          <w:szCs w:val="32"/>
          <w:u w:val="single"/>
        </w:rPr>
        <w:t>hexa</w:t>
      </w:r>
      <w:proofErr w:type="spellEnd"/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 xml:space="preserve">Vakcína proti difterii (D), tetanu (T), pertusi (acelulární 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komponenta) (</w:t>
      </w: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Pa</w:t>
      </w:r>
      <w:proofErr w:type="spellEnd"/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>), hepatitidě B (</w:t>
      </w: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rDNA</w:t>
      </w:r>
      <w:proofErr w:type="spellEnd"/>
      <w:r w:rsidRPr="00567B66">
        <w:rPr>
          <w:rFonts w:asciiTheme="majorHAnsi" w:hAnsiTheme="majorHAnsi" w:cs="TimesNewRomanPSMT"/>
          <w:color w:val="000000"/>
          <w:sz w:val="18"/>
        </w:rPr>
        <w:t>)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>(HBV), poliomyelitidě (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inaktivovaná) (IPV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) a konjugovaná vakcína proti </w:t>
      </w: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Haemophilus</w:t>
      </w:r>
      <w:proofErr w:type="spellEnd"/>
      <w:r w:rsidRPr="00567B66">
        <w:rPr>
          <w:rFonts w:asciiTheme="majorHAnsi" w:hAnsiTheme="majorHAnsi" w:cs="TimesNewRomanPSMT"/>
          <w:color w:val="000000"/>
          <w:sz w:val="18"/>
        </w:rPr>
        <w:t xml:space="preserve"> </w:t>
      </w: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influenzae</w:t>
      </w:r>
      <w:proofErr w:type="spellEnd"/>
    </w:p>
    <w:p w:rsidR="00567B66" w:rsidRPr="0051722B" w:rsidRDefault="00DC2368" w:rsidP="00DC23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color w:val="000000"/>
          <w:sz w:val="18"/>
        </w:rPr>
      </w:pPr>
      <w:r>
        <w:rPr>
          <w:rFonts w:asciiTheme="majorHAnsi" w:hAnsiTheme="majorHAnsi" w:cs="TimesNewRomanPSMT"/>
          <w:color w:val="000000"/>
          <w:sz w:val="18"/>
        </w:rPr>
        <w:t>typu b (</w:t>
      </w:r>
      <w:proofErr w:type="spellStart"/>
      <w:r>
        <w:rPr>
          <w:rFonts w:asciiTheme="majorHAnsi" w:hAnsiTheme="majorHAnsi" w:cs="TimesNewRomanPSMT"/>
          <w:color w:val="000000"/>
          <w:sz w:val="18"/>
        </w:rPr>
        <w:t>Hib</w:t>
      </w:r>
      <w:proofErr w:type="spellEnd"/>
      <w:r>
        <w:rPr>
          <w:rFonts w:asciiTheme="majorHAnsi" w:hAnsiTheme="majorHAnsi" w:cs="TimesNewRomanPSMT"/>
          <w:color w:val="000000"/>
          <w:sz w:val="18"/>
        </w:rPr>
        <w:t xml:space="preserve">), </w:t>
      </w:r>
    </w:p>
    <w:p w:rsidR="00DC2368" w:rsidRDefault="00DC2368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color w:val="000000"/>
          <w:sz w:val="18"/>
        </w:rPr>
      </w:pP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color w:val="000000"/>
          <w:sz w:val="18"/>
        </w:rPr>
      </w:pPr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 xml:space="preserve">Nepodávejte </w:t>
      </w:r>
      <w:proofErr w:type="spellStart"/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>Infanrix</w:t>
      </w:r>
      <w:proofErr w:type="spellEnd"/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 xml:space="preserve"> </w:t>
      </w:r>
      <w:proofErr w:type="spellStart"/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>hexa</w:t>
      </w:r>
      <w:proofErr w:type="spellEnd"/>
      <w:r w:rsidRPr="00567B66">
        <w:rPr>
          <w:rFonts w:asciiTheme="majorHAnsi" w:hAnsiTheme="majorHAnsi" w:cs="TimesNewRomanPS-BoldMT"/>
          <w:bCs/>
          <w:color w:val="000000"/>
          <w:sz w:val="18"/>
        </w:rPr>
        <w:t>: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 xml:space="preserve">pokud Vaše dítě mělo dříve jakoukoliv alergickou reakci na </w:t>
      </w: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Infanrix</w:t>
      </w:r>
      <w:proofErr w:type="spellEnd"/>
      <w:r w:rsidRPr="00567B66">
        <w:rPr>
          <w:rFonts w:asciiTheme="majorHAnsi" w:hAnsiTheme="majorHAnsi" w:cs="TimesNewRomanPSMT"/>
          <w:color w:val="000000"/>
          <w:sz w:val="18"/>
        </w:rPr>
        <w:t xml:space="preserve"> </w:t>
      </w: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hexa</w:t>
      </w:r>
      <w:proofErr w:type="spellEnd"/>
      <w:r w:rsidRPr="00567B66">
        <w:rPr>
          <w:rFonts w:asciiTheme="majorHAnsi" w:hAnsiTheme="majorHAnsi" w:cs="TimesNewRomanPSMT"/>
          <w:color w:val="000000"/>
          <w:sz w:val="18"/>
        </w:rPr>
        <w:t xml:space="preserve"> nebo na jakoukoliv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>látku obsaženou v této vakcíně. Všechny léčivé látky a pomocné látky obsažené ve vakcíně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Infanrix</w:t>
      </w:r>
      <w:proofErr w:type="spellEnd"/>
      <w:r w:rsidRPr="00567B66">
        <w:rPr>
          <w:rFonts w:asciiTheme="majorHAnsi" w:hAnsiTheme="majorHAnsi" w:cs="TimesNewRomanPSMT"/>
          <w:color w:val="000000"/>
          <w:sz w:val="18"/>
        </w:rPr>
        <w:t xml:space="preserve"> </w:t>
      </w: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hexa</w:t>
      </w:r>
      <w:proofErr w:type="spellEnd"/>
      <w:r w:rsidRPr="00567B66">
        <w:rPr>
          <w:rFonts w:asciiTheme="majorHAnsi" w:hAnsiTheme="majorHAnsi" w:cs="TimesNewRomanPSMT"/>
          <w:color w:val="000000"/>
          <w:sz w:val="18"/>
        </w:rPr>
        <w:t xml:space="preserve"> jsou vyjmenovány na konci této příbalové informace. Příznakem alergické reakce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>může být svědivá kožní vyrážka, dušnost a otok tváře nebo jazyka.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pokud Vaše dítě mělo dříve alergickou reakci na jakoukoliv vakcínu proti záškrtu, tetanu,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ItalicMT"/>
          <w:i/>
          <w:iCs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 xml:space="preserve">černému (dávivému) kašli, hepatitidě B, dětské obrně nebo vakcíně proti </w:t>
      </w:r>
      <w:proofErr w:type="spellStart"/>
      <w:proofErr w:type="gramStart"/>
      <w:r w:rsidRPr="00567B66">
        <w:rPr>
          <w:rFonts w:asciiTheme="majorHAnsi" w:hAnsiTheme="majorHAnsi" w:cs="TimesNewRomanPS-ItalicMT"/>
          <w:i/>
          <w:iCs/>
          <w:color w:val="000000"/>
          <w:sz w:val="18"/>
        </w:rPr>
        <w:t>Haemophilus</w:t>
      </w:r>
      <w:proofErr w:type="spellEnd"/>
      <w:proofErr w:type="gramEnd"/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proofErr w:type="spellStart"/>
      <w:r w:rsidRPr="00567B66">
        <w:rPr>
          <w:rFonts w:asciiTheme="majorHAnsi" w:hAnsiTheme="majorHAnsi" w:cs="TimesNewRomanPS-ItalicMT"/>
          <w:i/>
          <w:iCs/>
          <w:color w:val="000000"/>
          <w:sz w:val="18"/>
        </w:rPr>
        <w:t>influenza</w:t>
      </w:r>
      <w:r w:rsidRPr="00567B66">
        <w:rPr>
          <w:rFonts w:asciiTheme="majorHAnsi" w:hAnsiTheme="majorHAnsi" w:cs="TimesNewRomanPSMT"/>
          <w:color w:val="000000"/>
          <w:sz w:val="18"/>
        </w:rPr>
        <w:t>e</w:t>
      </w:r>
      <w:proofErr w:type="spellEnd"/>
      <w:r w:rsidRPr="00567B66">
        <w:rPr>
          <w:rFonts w:asciiTheme="majorHAnsi" w:hAnsiTheme="majorHAnsi" w:cs="TimesNewRomanPSMT"/>
          <w:color w:val="000000"/>
          <w:sz w:val="18"/>
        </w:rPr>
        <w:t xml:space="preserve"> typu </w:t>
      </w: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b</w:t>
      </w:r>
      <w:proofErr w:type="spellEnd"/>
      <w:r w:rsidRPr="00567B66">
        <w:rPr>
          <w:rFonts w:asciiTheme="majorHAnsi" w:hAnsiTheme="majorHAnsi" w:cs="TimesNewRomanPSMT"/>
          <w:color w:val="000000"/>
          <w:sz w:val="18"/>
        </w:rPr>
        <w:t>.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pokud se u Vašeho dítěte projevily do 7 dnů po předchozím očkování vakcínou proti černému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>(dávivému) kašli nežádoucí účinky postihující nervový systém.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pokud má Vaše dítě závažné infekční onemocnění s horečkou (vyšší než 38°C). Mírná infekce,</w:t>
      </w:r>
    </w:p>
    <w:p w:rsid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 xml:space="preserve">jako je například nachlazení, 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by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neměla být překážkou pro očkování, ale přesto o tom vždy</w:t>
      </w:r>
      <w:r w:rsidR="00DC2368">
        <w:rPr>
          <w:rFonts w:asciiTheme="majorHAnsi" w:hAnsiTheme="majorHAnsi" w:cs="TimesNewRomanPSMT"/>
          <w:color w:val="000000"/>
          <w:sz w:val="18"/>
        </w:rPr>
        <w:t xml:space="preserve"> </w:t>
      </w:r>
      <w:r w:rsidRPr="00567B66">
        <w:rPr>
          <w:rFonts w:asciiTheme="majorHAnsi" w:hAnsiTheme="majorHAnsi" w:cs="TimesNewRomanPSMT"/>
          <w:color w:val="000000"/>
          <w:sz w:val="18"/>
        </w:rPr>
        <w:t>informujte lékaře.</w:t>
      </w:r>
    </w:p>
    <w:p w:rsidR="00DC2368" w:rsidRPr="00567B66" w:rsidRDefault="00DC2368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color w:val="000000"/>
          <w:sz w:val="18"/>
        </w:rPr>
      </w:pPr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 xml:space="preserve">Zvláštní opatrnosti při použití přípravku </w:t>
      </w:r>
      <w:proofErr w:type="spellStart"/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>Infanrix</w:t>
      </w:r>
      <w:proofErr w:type="spellEnd"/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 xml:space="preserve"> </w:t>
      </w:r>
      <w:proofErr w:type="spellStart"/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>hexa</w:t>
      </w:r>
      <w:proofErr w:type="spellEnd"/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 xml:space="preserve"> je zapotřebí</w:t>
      </w:r>
      <w:r w:rsidRPr="00567B66">
        <w:rPr>
          <w:rFonts w:asciiTheme="majorHAnsi" w:hAnsiTheme="majorHAnsi" w:cs="TimesNewRomanPS-BoldMT"/>
          <w:bCs/>
          <w:color w:val="000000"/>
          <w:sz w:val="18"/>
        </w:rPr>
        <w:t>: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 xml:space="preserve">pokud Vaše dítě mělo již dříve zdravotní problémy po předchozím očkování vakcínou </w:t>
      </w: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Infanrix</w:t>
      </w:r>
      <w:proofErr w:type="spellEnd"/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hexa</w:t>
      </w:r>
      <w:proofErr w:type="spellEnd"/>
      <w:r w:rsidRPr="00567B66">
        <w:rPr>
          <w:rFonts w:asciiTheme="majorHAnsi" w:hAnsiTheme="majorHAnsi" w:cs="TimesNewRomanPSMT"/>
          <w:color w:val="000000"/>
          <w:sz w:val="18"/>
        </w:rPr>
        <w:t xml:space="preserve"> nebo jinou vakcínou proti černému (dávivému) kašli, jako jsou zejména: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="Arial Black" w:cs="SymbolMT"/>
          <w:color w:val="000000"/>
          <w:sz w:val="18"/>
        </w:rPr>
        <w:t>♦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 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horečka ( vyšší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než 40°C) během 48 hodin po očkování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="Arial Black" w:cs="SymbolMT"/>
          <w:color w:val="000000"/>
          <w:sz w:val="18"/>
        </w:rPr>
        <w:t>♦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 </w:t>
      </w:r>
      <w:r w:rsidRPr="00567B66">
        <w:rPr>
          <w:rFonts w:asciiTheme="majorHAnsi" w:hAnsiTheme="majorHAnsi" w:cs="TimesNewRomanPSMT"/>
          <w:color w:val="000000"/>
          <w:sz w:val="18"/>
        </w:rPr>
        <w:t>kolaps nebo šokový stav během 48 hodin po očkování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="Arial Black" w:cs="SymbolMT"/>
          <w:color w:val="000000"/>
          <w:sz w:val="18"/>
        </w:rPr>
        <w:t>♦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 </w:t>
      </w:r>
      <w:r w:rsidRPr="00567B66">
        <w:rPr>
          <w:rFonts w:asciiTheme="majorHAnsi" w:hAnsiTheme="majorHAnsi" w:cs="TimesNewRomanPSMT"/>
          <w:color w:val="000000"/>
          <w:sz w:val="18"/>
        </w:rPr>
        <w:t>neustupující pláč trvající déle než 3 hodiny v průběhu 48 hodin po očkování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="Arial Black" w:cs="SymbolMT"/>
          <w:color w:val="000000"/>
          <w:sz w:val="18"/>
        </w:rPr>
        <w:t>♦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 </w:t>
      </w:r>
      <w:r w:rsidRPr="00567B66">
        <w:rPr>
          <w:rFonts w:asciiTheme="majorHAnsi" w:hAnsiTheme="majorHAnsi" w:cs="TimesNewRomanPSMT"/>
          <w:color w:val="000000"/>
          <w:sz w:val="18"/>
        </w:rPr>
        <w:t>křeče/záchvaty s horečkou nebo bez ní v průběhu prvních 3 dnů po očkování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jestliže Vaše dítě trpí nediagnostikovaným nebo progresivním onemocněním mozku nebo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 xml:space="preserve">nekontrolovanou epilepsií. Vakcínu lze 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podat až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se nemoc dostane pod kontrolu.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pokud má Vaše dítě problémy se srážením krve nebo se mu snadno tvoří krevní podlitiny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pokud má Vaše dítě sklon ke křečím/záchvatům při horečce nebo že je tomu tak u některého z</w:t>
      </w:r>
    </w:p>
    <w:p w:rsid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>členů rodiny</w:t>
      </w:r>
    </w:p>
    <w:p w:rsidR="00DC2368" w:rsidRPr="00567B66" w:rsidRDefault="00DC2368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</w:p>
    <w:p w:rsidR="00567B66" w:rsidRPr="00DC2368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color w:val="000000"/>
          <w:sz w:val="18"/>
          <w:u w:val="single"/>
        </w:rPr>
      </w:pPr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 xml:space="preserve">Důležitá informace o některých složkách přípravku </w:t>
      </w:r>
      <w:proofErr w:type="spellStart"/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>Infanrix</w:t>
      </w:r>
      <w:proofErr w:type="spellEnd"/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 xml:space="preserve"> </w:t>
      </w:r>
      <w:proofErr w:type="spellStart"/>
      <w:r w:rsidRPr="00DC2368">
        <w:rPr>
          <w:rFonts w:asciiTheme="majorHAnsi" w:hAnsiTheme="majorHAnsi" w:cs="TimesNewRomanPS-BoldMT"/>
          <w:bCs/>
          <w:color w:val="000000"/>
          <w:sz w:val="18"/>
          <w:u w:val="single"/>
        </w:rPr>
        <w:t>hexa</w:t>
      </w:r>
      <w:proofErr w:type="spellEnd"/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>Prosím, informujte svého lékaře, pokud se u Vašeho dítěte vyskytla alergická reakce na neomycin a</w:t>
      </w:r>
    </w:p>
    <w:p w:rsid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polymyxin</w:t>
      </w:r>
      <w:proofErr w:type="spellEnd"/>
      <w:r w:rsidRPr="00567B66">
        <w:rPr>
          <w:rFonts w:asciiTheme="majorHAnsi" w:hAnsiTheme="majorHAnsi" w:cs="TimesNewRomanPSMT"/>
          <w:color w:val="000000"/>
          <w:sz w:val="18"/>
        </w:rPr>
        <w:t xml:space="preserve"> (antibiotika).</w:t>
      </w:r>
    </w:p>
    <w:p w:rsidR="00DC2368" w:rsidRPr="00567B66" w:rsidRDefault="00DC2368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</w:p>
    <w:p w:rsidR="00567B66" w:rsidRPr="00DC2368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Cs/>
          <w:color w:val="000000"/>
          <w:sz w:val="16"/>
          <w:szCs w:val="16"/>
          <w:u w:val="single"/>
        </w:rPr>
      </w:pPr>
      <w:r w:rsidRPr="00DC2368">
        <w:rPr>
          <w:rFonts w:asciiTheme="majorHAnsi" w:hAnsiTheme="majorHAnsi" w:cs="TimesNewRomanPS-BoldMT"/>
          <w:bCs/>
          <w:color w:val="000000"/>
          <w:sz w:val="16"/>
          <w:szCs w:val="16"/>
          <w:u w:val="single"/>
        </w:rPr>
        <w:t>MOŽNÉ NEŽÁDOUCÍ ÚČINKY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>Podobně jako u jiných injekčních vakcín, existuje i zde velmi malé nebezpečí vzniku závažných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 xml:space="preserve">alergických reakcí (anafylaktických nebo </w:t>
      </w:r>
      <w:proofErr w:type="spellStart"/>
      <w:r w:rsidRPr="00567B66">
        <w:rPr>
          <w:rFonts w:asciiTheme="majorHAnsi" w:hAnsiTheme="majorHAnsi" w:cs="TimesNewRomanPSMT"/>
          <w:color w:val="000000"/>
          <w:sz w:val="18"/>
        </w:rPr>
        <w:t>anafylaktoidních</w:t>
      </w:r>
      <w:proofErr w:type="spellEnd"/>
      <w:r w:rsidRPr="00567B66">
        <w:rPr>
          <w:rFonts w:asciiTheme="majorHAnsi" w:hAnsiTheme="majorHAnsi" w:cs="TimesNewRomanPSMT"/>
          <w:color w:val="000000"/>
          <w:sz w:val="18"/>
        </w:rPr>
        <w:t xml:space="preserve"> reakcí). Známkami závažných alergických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>reakcí mohou být:</w:t>
      </w:r>
      <w:r w:rsidR="00DC2368">
        <w:rPr>
          <w:rFonts w:asciiTheme="majorHAnsi" w:hAnsiTheme="majorHAnsi" w:cs="TimesNewRomanPSMT"/>
          <w:color w:val="000000"/>
          <w:sz w:val="18"/>
        </w:rPr>
        <w:t xml:space="preserve"> 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vyrážky, které jsou svědivé nebo puchýřkovité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otoky kolem očí a otoky obličeje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 xml:space="preserve">potíže s dýcháním nebo 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polykáním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náhlý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pokles krevního tlaku a ztráta vědomí</w:t>
      </w:r>
    </w:p>
    <w:p w:rsidR="00DC2368" w:rsidRDefault="00567B66" w:rsidP="00DC23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>K těmto reakcím zpravidla dochází ještě předtím, než opustíte ordinaci lékaře</w:t>
      </w:r>
    </w:p>
    <w:p w:rsidR="00DC2368" w:rsidRPr="00567B66" w:rsidRDefault="00DC2368" w:rsidP="00DC23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>Podobně jako u jiných vakcín proti pertusi (černému kašli) se mohou velmi vzácně objevit během 2 až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>3 dnů po očkování následující nežádoucí účinky: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kolaps nebo stavy bezvědomí nebo ztráta vědomí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záchvaty nebo křeče s nebo bez teploty</w:t>
      </w:r>
    </w:p>
    <w:p w:rsidR="00DC2368" w:rsidRPr="00567B66" w:rsidRDefault="00DC2368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Další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nežádoucí účinky, které 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byl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hlášeny: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-BoldMT"/>
          <w:bCs/>
          <w:color w:val="000000"/>
          <w:sz w:val="18"/>
        </w:rPr>
        <w:t xml:space="preserve">Velmi časté </w:t>
      </w:r>
      <w:r w:rsidRPr="00567B66">
        <w:rPr>
          <w:rFonts w:asciiTheme="majorHAnsi" w:hAnsiTheme="majorHAnsi" w:cs="TimesNewRomanPSMT"/>
          <w:color w:val="000000"/>
          <w:sz w:val="18"/>
        </w:rPr>
        <w:t>(Mohou se objevit u více než 1 z 10 dávek vakcíny):</w:t>
      </w:r>
      <w:r w:rsidR="00DC2368">
        <w:rPr>
          <w:rFonts w:asciiTheme="majorHAnsi" w:hAnsiTheme="majorHAnsi" w:cs="TimesNewRomanPSMT"/>
          <w:color w:val="000000"/>
          <w:sz w:val="18"/>
        </w:rPr>
        <w:t xml:space="preserve"> 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ztráta chuti k</w:t>
      </w:r>
      <w:r w:rsidR="00DC2368">
        <w:rPr>
          <w:rFonts w:asciiTheme="majorHAnsi" w:hAnsiTheme="majorHAnsi" w:cs="TimesNewRomanPSMT"/>
          <w:color w:val="000000"/>
          <w:sz w:val="18"/>
        </w:rPr>
        <w:t> 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jídlu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horečka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38°C a vyšší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otoky, bolest, zarudnutí v místě vpichu vakcíny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únava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neobvyklý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pláč, podrážděnost, neklid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-BoldMT"/>
          <w:bCs/>
          <w:color w:val="000000"/>
          <w:sz w:val="18"/>
        </w:rPr>
        <w:t xml:space="preserve">Časté </w:t>
      </w:r>
      <w:r w:rsidRPr="00567B66">
        <w:rPr>
          <w:rFonts w:asciiTheme="majorHAnsi" w:hAnsiTheme="majorHAnsi" w:cs="TimesNewRomanPSMT"/>
          <w:color w:val="000000"/>
          <w:sz w:val="18"/>
        </w:rPr>
        <w:t>(Mohou se objevit až 1x z 10 dávek vakcíny):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 xml:space="preserve">průjem, 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zvracení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horečka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vyšší než 39,5°C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 xml:space="preserve">otok v místě vpichu vakcíny větší jak 5 cm, zatvrdnutí v místě vpichu 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vakcíny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nervozita</w:t>
      </w:r>
      <w:proofErr w:type="gramEnd"/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-BoldMT"/>
          <w:bCs/>
          <w:color w:val="000000"/>
          <w:sz w:val="18"/>
        </w:rPr>
        <w:t xml:space="preserve">Méně časté </w:t>
      </w:r>
      <w:r w:rsidRPr="00567B66">
        <w:rPr>
          <w:rFonts w:asciiTheme="majorHAnsi" w:hAnsiTheme="majorHAnsi" w:cs="TimesNewRomanPSMT"/>
          <w:color w:val="000000"/>
          <w:sz w:val="18"/>
        </w:rPr>
        <w:t>(Mohou se objevit až 1x ze 100 dávek vakcíny):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ospalost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kašel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rozsáhlý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otok celé končetiny, do které byla vakcína aplikována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-BoldMT"/>
          <w:bCs/>
          <w:color w:val="000000"/>
          <w:sz w:val="18"/>
        </w:rPr>
        <w:t xml:space="preserve">Vzácné </w:t>
      </w:r>
      <w:r w:rsidRPr="00567B66">
        <w:rPr>
          <w:rFonts w:asciiTheme="majorHAnsi" w:hAnsiTheme="majorHAnsi" w:cs="TimesNewRomanPSMT"/>
          <w:color w:val="000000"/>
          <w:sz w:val="18"/>
        </w:rPr>
        <w:t>(Mohou se objevit až 1x z 1000 dávek vakcíny):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vyrážka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-BoldMT"/>
          <w:bCs/>
          <w:color w:val="000000"/>
          <w:sz w:val="18"/>
        </w:rPr>
        <w:t xml:space="preserve">Velmi vzácné </w:t>
      </w:r>
      <w:r w:rsidRPr="00567B66">
        <w:rPr>
          <w:rFonts w:asciiTheme="majorHAnsi" w:hAnsiTheme="majorHAnsi" w:cs="TimesNewRomanPSMT"/>
          <w:color w:val="000000"/>
          <w:sz w:val="18"/>
        </w:rPr>
        <w:t>(Mohou se objevit až 1x z 10000 dávek vakcíny):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zduření uzlin na krku, v podpaží nebo v slabinách (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lymfadenopatie)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U velmi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předčasně narozených dětí (v 28. týdnu těhotenství nebo dříve) se mohou během 2 až 3</w:t>
      </w: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hAnsiTheme="majorHAnsi" w:cs="TimesNewRomanPSMT"/>
          <w:color w:val="000000"/>
          <w:sz w:val="18"/>
        </w:rPr>
        <w:t xml:space="preserve">dnů po očkování objevit delší pauzy mezi jednotlivými 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dechy.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dočasné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zastavení dýchání (apnoe)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otok obličeje, rtů, úst, jazyka nebo krku, který může být příčinou obtíží při polykání nebo</w:t>
      </w:r>
      <w:r w:rsidR="00DC2368">
        <w:rPr>
          <w:rFonts w:asciiTheme="majorHAnsi" w:hAnsiTheme="majorHAnsi" w:cs="TimesNewRomanPSMT"/>
          <w:color w:val="000000"/>
          <w:sz w:val="18"/>
        </w:rPr>
        <w:t xml:space="preserve"> </w:t>
      </w:r>
      <w:r w:rsidRPr="00567B66">
        <w:rPr>
          <w:rFonts w:asciiTheme="majorHAnsi" w:hAnsiTheme="majorHAnsi" w:cs="TimesNewRomanPSMT"/>
          <w:color w:val="000000"/>
          <w:sz w:val="18"/>
        </w:rPr>
        <w:t>dýchání (angioneurotický edém)</w:t>
      </w:r>
    </w:p>
    <w:p w:rsid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 xml:space="preserve">dermatitida (zánět </w:t>
      </w:r>
      <w:proofErr w:type="gramStart"/>
      <w:r w:rsidRPr="00567B66">
        <w:rPr>
          <w:rFonts w:asciiTheme="majorHAnsi" w:hAnsiTheme="majorHAnsi" w:cs="TimesNewRomanPSMT"/>
          <w:color w:val="000000"/>
          <w:sz w:val="18"/>
        </w:rPr>
        <w:t>kůže)</w:t>
      </w:r>
      <w:r w:rsidR="00DC2368">
        <w:rPr>
          <w:rFonts w:asciiTheme="majorHAnsi" w:hAnsiTheme="majorHAnsi" w:cs="TimesNewRomanPSMT"/>
          <w:color w:val="000000"/>
          <w:sz w:val="18"/>
        </w:rPr>
        <w:t>,</w:t>
      </w:r>
      <w:r w:rsidRPr="00567B66">
        <w:rPr>
          <w:rFonts w:asciiTheme="majorHAnsi" w:eastAsia="SymbolMT" w:hAnsiTheme="majorHAnsi" w:cs="SymbolMT"/>
          <w:color w:val="000000"/>
          <w:sz w:val="18"/>
        </w:rPr>
        <w:t xml:space="preserve">• </w:t>
      </w:r>
      <w:r w:rsidRPr="00567B66">
        <w:rPr>
          <w:rFonts w:asciiTheme="majorHAnsi" w:hAnsiTheme="majorHAnsi" w:cs="TimesNewRomanPSMT"/>
          <w:color w:val="000000"/>
          <w:sz w:val="18"/>
        </w:rPr>
        <w:t>otok</w:t>
      </w:r>
      <w:proofErr w:type="gramEnd"/>
      <w:r w:rsidRPr="00567B66">
        <w:rPr>
          <w:rFonts w:asciiTheme="majorHAnsi" w:hAnsiTheme="majorHAnsi" w:cs="TimesNewRomanPSMT"/>
          <w:color w:val="000000"/>
          <w:sz w:val="18"/>
        </w:rPr>
        <w:t xml:space="preserve"> končetiny, do které byla vakcína aplikována, puchýřky v místě vpichu vakcíny</w:t>
      </w:r>
    </w:p>
    <w:p w:rsidR="00DC2368" w:rsidRDefault="00DC2368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</w:p>
    <w:p w:rsidR="00DC2368" w:rsidRDefault="00DC2368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  <w:r>
        <w:rPr>
          <w:rFonts w:asciiTheme="majorHAnsi" w:hAnsiTheme="majorHAnsi" w:cs="TimesNewRomanPSMT"/>
          <w:color w:val="000000"/>
          <w:sz w:val="18"/>
        </w:rPr>
        <w:t xml:space="preserve">Pokud by se toto reakce po aplikaci vakcíny vyskytly, informujte lékaře. </w:t>
      </w:r>
    </w:p>
    <w:p w:rsidR="00DC2368" w:rsidRPr="00567B66" w:rsidRDefault="00DC2368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</w:p>
    <w:p w:rsidR="00DC2368" w:rsidRDefault="00DC2368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</w:p>
    <w:p w:rsidR="00567B66" w:rsidRPr="00567B66" w:rsidRDefault="00567B66" w:rsidP="00567B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color w:val="000000"/>
          <w:sz w:val="18"/>
        </w:rPr>
      </w:pPr>
    </w:p>
    <w:sectPr w:rsidR="00567B66" w:rsidRPr="00567B66" w:rsidSect="00C4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6C" w:rsidRDefault="00BA3E6C" w:rsidP="00DC2368">
      <w:pPr>
        <w:spacing w:after="0" w:line="240" w:lineRule="auto"/>
      </w:pPr>
      <w:r>
        <w:separator/>
      </w:r>
    </w:p>
  </w:endnote>
  <w:endnote w:type="continuationSeparator" w:id="0">
    <w:p w:rsidR="00BA3E6C" w:rsidRDefault="00BA3E6C" w:rsidP="00DC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6C" w:rsidRDefault="00BA3E6C" w:rsidP="00DC2368">
      <w:pPr>
        <w:spacing w:after="0" w:line="240" w:lineRule="auto"/>
      </w:pPr>
      <w:r>
        <w:separator/>
      </w:r>
    </w:p>
  </w:footnote>
  <w:footnote w:type="continuationSeparator" w:id="0">
    <w:p w:rsidR="00BA3E6C" w:rsidRDefault="00BA3E6C" w:rsidP="00DC2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B66"/>
    <w:rsid w:val="0009783A"/>
    <w:rsid w:val="0051722B"/>
    <w:rsid w:val="00567B66"/>
    <w:rsid w:val="00611A58"/>
    <w:rsid w:val="00761A15"/>
    <w:rsid w:val="00B85ACC"/>
    <w:rsid w:val="00BA3E6C"/>
    <w:rsid w:val="00C40C1D"/>
    <w:rsid w:val="00CC3BCE"/>
    <w:rsid w:val="00DC2368"/>
    <w:rsid w:val="00E2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C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2368"/>
  </w:style>
  <w:style w:type="paragraph" w:styleId="Zpat">
    <w:name w:val="footer"/>
    <w:basedOn w:val="Normln"/>
    <w:link w:val="ZpatChar"/>
    <w:uiPriority w:val="99"/>
    <w:semiHidden/>
    <w:unhideWhenUsed/>
    <w:rsid w:val="00DC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2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Hamplova</dc:creator>
  <cp:lastModifiedBy>Lucie Hamplova</cp:lastModifiedBy>
  <cp:revision>6</cp:revision>
  <dcterms:created xsi:type="dcterms:W3CDTF">2012-03-04T17:01:00Z</dcterms:created>
  <dcterms:modified xsi:type="dcterms:W3CDTF">2012-03-31T18:07:00Z</dcterms:modified>
</cp:coreProperties>
</file>